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5330" w14:textId="77777777" w:rsidR="002268CA" w:rsidRPr="008835A6" w:rsidRDefault="002268CA" w:rsidP="002268CA">
      <w:pPr>
        <w:spacing w:line="520" w:lineRule="exact"/>
        <w:ind w:left="2"/>
        <w:jc w:val="center"/>
        <w:rPr>
          <w:rFonts w:asciiTheme="minorEastAsia" w:hAnsiTheme="minorEastAsia"/>
          <w:b/>
          <w:sz w:val="32"/>
          <w:szCs w:val="32"/>
        </w:rPr>
      </w:pPr>
      <w:r w:rsidRPr="008835A6">
        <w:rPr>
          <w:rFonts w:asciiTheme="minorEastAsia" w:hAnsiTheme="minorEastAsia" w:hint="eastAsia"/>
          <w:b/>
          <w:sz w:val="32"/>
          <w:szCs w:val="32"/>
        </w:rPr>
        <w:t>行政改革推進本部 行政事業レビューチーム</w:t>
      </w:r>
    </w:p>
    <w:p w14:paraId="66B43AD1" w14:textId="7DE21D3E" w:rsidR="002268CA" w:rsidRPr="008835A6" w:rsidRDefault="002268CA" w:rsidP="002268CA">
      <w:pPr>
        <w:spacing w:line="520" w:lineRule="exact"/>
        <w:ind w:left="321" w:hangingChars="100" w:hanging="321"/>
        <w:jc w:val="center"/>
        <w:rPr>
          <w:rFonts w:asciiTheme="minorEastAsia" w:hAnsiTheme="minorEastAsia"/>
          <w:b/>
          <w:sz w:val="32"/>
          <w:szCs w:val="32"/>
        </w:rPr>
      </w:pPr>
      <w:r>
        <w:rPr>
          <w:rFonts w:asciiTheme="minorEastAsia" w:hAnsiTheme="minorEastAsia" w:hint="eastAsia"/>
          <w:b/>
          <w:sz w:val="32"/>
          <w:szCs w:val="32"/>
        </w:rPr>
        <w:t>人事院勧告の見直しチーム 提言</w:t>
      </w:r>
    </w:p>
    <w:p w14:paraId="2B4150B9" w14:textId="77777777" w:rsidR="002268CA" w:rsidRPr="00BE1BD1" w:rsidRDefault="002268CA" w:rsidP="002268CA">
      <w:pPr>
        <w:spacing w:line="520" w:lineRule="exact"/>
        <w:jc w:val="center"/>
        <w:rPr>
          <w:rFonts w:asciiTheme="minorEastAsia" w:hAnsiTheme="minorEastAsia"/>
          <w:b/>
          <w:sz w:val="28"/>
          <w:szCs w:val="28"/>
        </w:rPr>
      </w:pPr>
      <w:r>
        <w:rPr>
          <w:rFonts w:asciiTheme="minorEastAsia" w:hAnsiTheme="minorEastAsia" w:hint="eastAsia"/>
          <w:b/>
          <w:sz w:val="28"/>
          <w:szCs w:val="28"/>
        </w:rPr>
        <w:t>～</w:t>
      </w:r>
      <w:r w:rsidRPr="00BE1BD1">
        <w:rPr>
          <w:rFonts w:asciiTheme="minorEastAsia" w:hAnsiTheme="minorEastAsia" w:hint="eastAsia"/>
          <w:b/>
          <w:sz w:val="28"/>
          <w:szCs w:val="28"/>
        </w:rPr>
        <w:t>公務員給与の見直しについて</w:t>
      </w:r>
      <w:r>
        <w:rPr>
          <w:rFonts w:asciiTheme="minorEastAsia" w:hAnsiTheme="minorEastAsia" w:hint="eastAsia"/>
          <w:b/>
          <w:sz w:val="28"/>
          <w:szCs w:val="28"/>
        </w:rPr>
        <w:t>～</w:t>
      </w:r>
    </w:p>
    <w:p w14:paraId="03C29929" w14:textId="77777777" w:rsidR="002268CA" w:rsidRPr="00AE7712" w:rsidRDefault="002268CA" w:rsidP="002268CA">
      <w:pPr>
        <w:spacing w:line="360" w:lineRule="auto"/>
        <w:rPr>
          <w:rFonts w:asciiTheme="minorEastAsia" w:hAnsiTheme="minorEastAsia"/>
          <w:szCs w:val="24"/>
        </w:rPr>
      </w:pPr>
    </w:p>
    <w:p w14:paraId="5B7A661A" w14:textId="77777777" w:rsidR="002268CA" w:rsidRPr="008835A6" w:rsidRDefault="002268CA" w:rsidP="002268CA">
      <w:pPr>
        <w:ind w:left="330" w:hangingChars="100" w:hanging="330"/>
        <w:jc w:val="right"/>
        <w:rPr>
          <w:rFonts w:asciiTheme="minorEastAsia" w:hAnsiTheme="minorEastAsia"/>
          <w:szCs w:val="24"/>
        </w:rPr>
      </w:pPr>
      <w:r w:rsidRPr="002268CA">
        <w:rPr>
          <w:rFonts w:asciiTheme="minorEastAsia" w:hAnsiTheme="minorEastAsia" w:hint="eastAsia"/>
          <w:spacing w:val="45"/>
          <w:kern w:val="0"/>
          <w:szCs w:val="24"/>
          <w:fitText w:val="2880" w:id="1454585600"/>
        </w:rPr>
        <w:t>平成29年6月22</w:t>
      </w:r>
      <w:r w:rsidRPr="002268CA">
        <w:rPr>
          <w:rFonts w:asciiTheme="minorEastAsia" w:hAnsiTheme="minorEastAsia" w:hint="eastAsia"/>
          <w:kern w:val="0"/>
          <w:szCs w:val="24"/>
          <w:fitText w:val="2880" w:id="1454585600"/>
        </w:rPr>
        <w:t>日</w:t>
      </w:r>
    </w:p>
    <w:p w14:paraId="01ABD3BB" w14:textId="77777777" w:rsidR="002268CA" w:rsidRPr="008835A6" w:rsidRDefault="002268CA" w:rsidP="002268CA">
      <w:pPr>
        <w:ind w:left="660" w:hangingChars="100" w:hanging="660"/>
        <w:jc w:val="right"/>
        <w:rPr>
          <w:rFonts w:asciiTheme="minorEastAsia" w:hAnsiTheme="minorEastAsia"/>
          <w:szCs w:val="24"/>
        </w:rPr>
      </w:pPr>
      <w:r w:rsidRPr="002268CA">
        <w:rPr>
          <w:rFonts w:asciiTheme="minorEastAsia" w:hAnsiTheme="minorEastAsia" w:hint="eastAsia"/>
          <w:spacing w:val="210"/>
          <w:kern w:val="0"/>
          <w:szCs w:val="24"/>
          <w:fitText w:val="2880" w:id="1454585601"/>
        </w:rPr>
        <w:t>自由民主</w:t>
      </w:r>
      <w:r w:rsidRPr="002268CA">
        <w:rPr>
          <w:rFonts w:asciiTheme="minorEastAsia" w:hAnsiTheme="minorEastAsia" w:hint="eastAsia"/>
          <w:kern w:val="0"/>
          <w:szCs w:val="24"/>
          <w:fitText w:val="2880" w:id="1454585601"/>
        </w:rPr>
        <w:t>党</w:t>
      </w:r>
    </w:p>
    <w:p w14:paraId="37E67012" w14:textId="77777777" w:rsidR="002268CA" w:rsidRPr="008835A6" w:rsidRDefault="002268CA" w:rsidP="002268CA">
      <w:pPr>
        <w:ind w:left="376" w:hangingChars="100" w:hanging="376"/>
        <w:jc w:val="right"/>
        <w:rPr>
          <w:rFonts w:asciiTheme="minorEastAsia" w:hAnsiTheme="minorEastAsia"/>
          <w:szCs w:val="24"/>
        </w:rPr>
      </w:pPr>
      <w:r w:rsidRPr="002268CA">
        <w:rPr>
          <w:rFonts w:asciiTheme="minorEastAsia" w:hAnsiTheme="minorEastAsia" w:hint="eastAsia"/>
          <w:spacing w:val="68"/>
          <w:kern w:val="0"/>
          <w:szCs w:val="24"/>
          <w:fitText w:val="2880" w:id="1454585602"/>
        </w:rPr>
        <w:t>行政改革推進本</w:t>
      </w:r>
      <w:r w:rsidRPr="002268CA">
        <w:rPr>
          <w:rFonts w:asciiTheme="minorEastAsia" w:hAnsiTheme="minorEastAsia" w:hint="eastAsia"/>
          <w:spacing w:val="4"/>
          <w:kern w:val="0"/>
          <w:szCs w:val="24"/>
          <w:fitText w:val="2880" w:id="1454585602"/>
        </w:rPr>
        <w:t>部</w:t>
      </w:r>
    </w:p>
    <w:p w14:paraId="1E6632CB" w14:textId="77777777" w:rsidR="002268CA" w:rsidRPr="008835A6" w:rsidRDefault="002268CA" w:rsidP="002268CA">
      <w:pPr>
        <w:ind w:left="264" w:hangingChars="100" w:hanging="264"/>
        <w:jc w:val="right"/>
        <w:rPr>
          <w:rFonts w:asciiTheme="minorEastAsia" w:hAnsiTheme="minorEastAsia"/>
          <w:szCs w:val="24"/>
        </w:rPr>
      </w:pPr>
      <w:r w:rsidRPr="002268CA">
        <w:rPr>
          <w:rFonts w:asciiTheme="minorEastAsia" w:hAnsiTheme="minorEastAsia" w:hint="eastAsia"/>
          <w:spacing w:val="12"/>
          <w:kern w:val="0"/>
          <w:szCs w:val="24"/>
          <w:fitText w:val="2880" w:id="1454585603"/>
        </w:rPr>
        <w:t>行政事業レビューチー</w:t>
      </w:r>
      <w:r w:rsidRPr="002268CA">
        <w:rPr>
          <w:rFonts w:asciiTheme="minorEastAsia" w:hAnsiTheme="minorEastAsia" w:hint="eastAsia"/>
          <w:kern w:val="0"/>
          <w:szCs w:val="24"/>
          <w:fitText w:val="2880" w:id="1454585603"/>
        </w:rPr>
        <w:t>ム</w:t>
      </w:r>
    </w:p>
    <w:p w14:paraId="51B74E77" w14:textId="77777777" w:rsidR="002268CA" w:rsidRPr="00AE7712" w:rsidRDefault="002268CA" w:rsidP="002268CA">
      <w:pPr>
        <w:ind w:left="240" w:hangingChars="100" w:hanging="240"/>
        <w:jc w:val="right"/>
        <w:rPr>
          <w:rFonts w:asciiTheme="minorEastAsia" w:hAnsiTheme="minorEastAsia"/>
          <w:szCs w:val="24"/>
        </w:rPr>
      </w:pPr>
      <w:r w:rsidRPr="002268CA">
        <w:rPr>
          <w:rFonts w:asciiTheme="minorEastAsia" w:hAnsiTheme="minorEastAsia" w:hint="eastAsia"/>
          <w:kern w:val="0"/>
          <w:szCs w:val="24"/>
          <w:fitText w:val="2880" w:id="1454585604"/>
        </w:rPr>
        <w:t>人事院勧告の見直しチーム</w:t>
      </w:r>
    </w:p>
    <w:p w14:paraId="636932FF" w14:textId="77777777" w:rsidR="000111B6" w:rsidRPr="002268CA" w:rsidRDefault="000111B6" w:rsidP="002268CA">
      <w:pPr>
        <w:spacing w:line="360" w:lineRule="auto"/>
        <w:jc w:val="left"/>
        <w:rPr>
          <w:rFonts w:asciiTheme="minorEastAsia" w:hAnsiTheme="minorEastAsia"/>
          <w:szCs w:val="24"/>
        </w:rPr>
      </w:pPr>
    </w:p>
    <w:p w14:paraId="55D63947" w14:textId="7FE4CC46" w:rsidR="00D909B0" w:rsidRPr="002268CA" w:rsidRDefault="002268CA" w:rsidP="002268CA">
      <w:pPr>
        <w:pStyle w:val="ad"/>
        <w:jc w:val="both"/>
      </w:pPr>
      <w:r>
        <w:rPr>
          <w:rFonts w:hint="eastAsia"/>
        </w:rPr>
        <w:t xml:space="preserve">  </w:t>
      </w:r>
      <w:r w:rsidR="00A17617" w:rsidRPr="002268CA">
        <w:rPr>
          <w:rFonts w:hint="eastAsia"/>
        </w:rPr>
        <w:t>給与法の適用対象となる</w:t>
      </w:r>
      <w:r w:rsidR="00E427CC" w:rsidRPr="002268CA">
        <w:rPr>
          <w:rFonts w:hint="eastAsia"/>
        </w:rPr>
        <w:t>国家公務員</w:t>
      </w:r>
      <w:r w:rsidR="00A17617" w:rsidRPr="002268CA">
        <w:rPr>
          <w:rFonts w:hint="eastAsia"/>
        </w:rPr>
        <w:t>約28万人について</w:t>
      </w:r>
      <w:r w:rsidR="00D909B0" w:rsidRPr="002268CA">
        <w:rPr>
          <w:rFonts w:hint="eastAsia"/>
        </w:rPr>
        <w:t>は、労働基本権制約</w:t>
      </w:r>
      <w:r w:rsidR="00E427CC" w:rsidRPr="002268CA">
        <w:rPr>
          <w:rFonts w:hint="eastAsia"/>
        </w:rPr>
        <w:t>の</w:t>
      </w:r>
      <w:r w:rsidR="00D909B0" w:rsidRPr="002268CA">
        <w:rPr>
          <w:rFonts w:hint="eastAsia"/>
        </w:rPr>
        <w:t>代償</w:t>
      </w:r>
      <w:r w:rsidR="00E427CC" w:rsidRPr="002268CA">
        <w:rPr>
          <w:rFonts w:hint="eastAsia"/>
        </w:rPr>
        <w:t>措置と</w:t>
      </w:r>
      <w:r w:rsidR="00E427CC" w:rsidRPr="002268CA">
        <w:rPr>
          <w:rFonts w:hint="eastAsia"/>
          <w:spacing w:val="2"/>
        </w:rPr>
        <w:t>しての</w:t>
      </w:r>
      <w:r w:rsidR="00D909B0" w:rsidRPr="002268CA">
        <w:rPr>
          <w:rFonts w:hint="eastAsia"/>
          <w:spacing w:val="2"/>
        </w:rPr>
        <w:t>人事院勧告に基づき、給与水準が設定され、その水準は、国家公務員法に定める</w:t>
      </w:r>
      <w:r w:rsidR="00D909B0" w:rsidRPr="002268CA">
        <w:rPr>
          <w:rFonts w:hint="eastAsia"/>
        </w:rPr>
        <w:t>情勢適応の原則に</w:t>
      </w:r>
      <w:r w:rsidR="009E41B9" w:rsidRPr="002268CA">
        <w:rPr>
          <w:rFonts w:hint="eastAsia"/>
        </w:rPr>
        <w:t>より</w:t>
      </w:r>
      <w:r w:rsidR="00D909B0" w:rsidRPr="002268CA">
        <w:rPr>
          <w:rFonts w:hint="eastAsia"/>
        </w:rPr>
        <w:t>、民間準拠、すなわち、民間企業の従業員の</w:t>
      </w:r>
      <w:r w:rsidR="00E427CC" w:rsidRPr="002268CA">
        <w:rPr>
          <w:rFonts w:hint="eastAsia"/>
        </w:rPr>
        <w:t>給与水準</w:t>
      </w:r>
      <w:r w:rsidR="00D909B0" w:rsidRPr="002268CA">
        <w:rPr>
          <w:rFonts w:hint="eastAsia"/>
        </w:rPr>
        <w:t>と均衡させることを基本</w:t>
      </w:r>
      <w:r w:rsidR="00E427CC" w:rsidRPr="002268CA">
        <w:rPr>
          <w:rFonts w:hint="eastAsia"/>
        </w:rPr>
        <w:t>に</w:t>
      </w:r>
      <w:r w:rsidR="00D909B0" w:rsidRPr="002268CA">
        <w:rPr>
          <w:rFonts w:hint="eastAsia"/>
        </w:rPr>
        <w:t>設定されている。</w:t>
      </w:r>
    </w:p>
    <w:p w14:paraId="16602E10" w14:textId="763707B8" w:rsidR="00D909B0" w:rsidRPr="002268CA" w:rsidRDefault="002268CA" w:rsidP="002268CA">
      <w:pPr>
        <w:pStyle w:val="ad"/>
        <w:jc w:val="both"/>
      </w:pPr>
      <w:r>
        <w:rPr>
          <w:rFonts w:hint="eastAsia"/>
        </w:rPr>
        <w:t xml:space="preserve">  </w:t>
      </w:r>
      <w:r w:rsidR="00D909B0" w:rsidRPr="002268CA">
        <w:rPr>
          <w:rFonts w:hint="eastAsia"/>
        </w:rPr>
        <w:t>このような国家公務員の給与については</w:t>
      </w:r>
      <w:r w:rsidR="003E3D08" w:rsidRPr="002268CA">
        <w:rPr>
          <w:rFonts w:hint="eastAsia"/>
        </w:rPr>
        <w:t>、</w:t>
      </w:r>
      <w:r w:rsidR="00D11240" w:rsidRPr="002268CA">
        <w:rPr>
          <w:rFonts w:hint="eastAsia"/>
        </w:rPr>
        <w:t>社会経済情勢の変化に応じた</w:t>
      </w:r>
      <w:r w:rsidR="00D909B0" w:rsidRPr="002268CA">
        <w:rPr>
          <w:rFonts w:hint="eastAsia"/>
        </w:rPr>
        <w:t>不断の見直しが必要であ</w:t>
      </w:r>
      <w:r w:rsidR="00E427CC" w:rsidRPr="002268CA">
        <w:rPr>
          <w:rFonts w:hint="eastAsia"/>
        </w:rPr>
        <w:t>り</w:t>
      </w:r>
      <w:r w:rsidR="00D909B0" w:rsidRPr="002268CA">
        <w:rPr>
          <w:rFonts w:hint="eastAsia"/>
        </w:rPr>
        <w:t>、当チーム</w:t>
      </w:r>
      <w:r w:rsidR="00E427CC" w:rsidRPr="002268CA">
        <w:rPr>
          <w:rFonts w:hint="eastAsia"/>
        </w:rPr>
        <w:t>として</w:t>
      </w:r>
      <w:r w:rsidR="00D909B0" w:rsidRPr="002268CA">
        <w:rPr>
          <w:rFonts w:hint="eastAsia"/>
        </w:rPr>
        <w:t>、有識者や関係省庁等からヒアリングを行った。その結果、</w:t>
      </w:r>
      <w:r w:rsidR="00D909B0" w:rsidRPr="002268CA">
        <w:rPr>
          <w:rFonts w:hint="eastAsia"/>
          <w:spacing w:val="2"/>
        </w:rPr>
        <w:t>これまでも</w:t>
      </w:r>
      <w:r w:rsidR="00A72675" w:rsidRPr="002268CA">
        <w:rPr>
          <w:rFonts w:hint="eastAsia"/>
          <w:spacing w:val="2"/>
        </w:rPr>
        <w:t>人事院におい</w:t>
      </w:r>
      <w:r w:rsidR="00D24B0D" w:rsidRPr="002268CA">
        <w:rPr>
          <w:rFonts w:hint="eastAsia"/>
          <w:spacing w:val="2"/>
        </w:rPr>
        <w:t>て</w:t>
      </w:r>
      <w:r w:rsidR="00D909B0" w:rsidRPr="002268CA">
        <w:rPr>
          <w:rFonts w:hint="eastAsia"/>
          <w:spacing w:val="2"/>
        </w:rPr>
        <w:t>度々見直</w:t>
      </w:r>
      <w:r w:rsidR="00E427CC" w:rsidRPr="002268CA">
        <w:rPr>
          <w:rFonts w:hint="eastAsia"/>
          <w:spacing w:val="2"/>
        </w:rPr>
        <w:t>しがなされ</w:t>
      </w:r>
      <w:r w:rsidR="00D909B0" w:rsidRPr="002268CA">
        <w:rPr>
          <w:rFonts w:hint="eastAsia"/>
          <w:spacing w:val="2"/>
        </w:rPr>
        <w:t>、最近では平成18年度</w:t>
      </w:r>
      <w:r w:rsidR="00D11240" w:rsidRPr="002268CA">
        <w:rPr>
          <w:rFonts w:hint="eastAsia"/>
          <w:spacing w:val="2"/>
        </w:rPr>
        <w:t>の</w:t>
      </w:r>
      <w:r w:rsidR="00D909B0" w:rsidRPr="002268CA">
        <w:rPr>
          <w:rFonts w:hint="eastAsia"/>
          <w:spacing w:val="2"/>
        </w:rPr>
        <w:t>給与構造改革、</w:t>
      </w:r>
      <w:r w:rsidR="00D909B0" w:rsidRPr="002268CA">
        <w:rPr>
          <w:rFonts w:hint="eastAsia"/>
        </w:rPr>
        <w:t>平成27年度</w:t>
      </w:r>
      <w:r w:rsidR="00D11240" w:rsidRPr="002268CA">
        <w:rPr>
          <w:rFonts w:hint="eastAsia"/>
        </w:rPr>
        <w:t>の</w:t>
      </w:r>
      <w:r w:rsidR="00D909B0" w:rsidRPr="002268CA">
        <w:rPr>
          <w:rFonts w:hint="eastAsia"/>
        </w:rPr>
        <w:t>給与制度総合的見直しなど、相応の改善効果を上げてきたものと認められた。</w:t>
      </w:r>
    </w:p>
    <w:p w14:paraId="6D52DBBF" w14:textId="1E69F582" w:rsidR="00565755" w:rsidRPr="002268CA" w:rsidRDefault="002268CA" w:rsidP="002268CA">
      <w:pPr>
        <w:pStyle w:val="ad"/>
        <w:jc w:val="both"/>
      </w:pPr>
      <w:r>
        <w:rPr>
          <w:rFonts w:hint="eastAsia"/>
        </w:rPr>
        <w:t xml:space="preserve">  </w:t>
      </w:r>
      <w:r w:rsidR="007F12B5" w:rsidRPr="002268CA">
        <w:rPr>
          <w:rFonts w:hint="eastAsia"/>
          <w:spacing w:val="-2"/>
        </w:rPr>
        <w:t>他方、</w:t>
      </w:r>
      <w:r w:rsidR="00D909B0" w:rsidRPr="002268CA">
        <w:rPr>
          <w:rFonts w:hint="eastAsia"/>
          <w:spacing w:val="-2"/>
        </w:rPr>
        <w:t>その給与体系については</w:t>
      </w:r>
      <w:r w:rsidR="00D11240" w:rsidRPr="002268CA">
        <w:rPr>
          <w:rFonts w:hint="eastAsia"/>
          <w:spacing w:val="-2"/>
        </w:rPr>
        <w:t>引き続き</w:t>
      </w:r>
      <w:r w:rsidR="00D909B0" w:rsidRPr="002268CA">
        <w:rPr>
          <w:rFonts w:hint="eastAsia"/>
          <w:spacing w:val="-2"/>
        </w:rPr>
        <w:t>見直すべき点が認めら</w:t>
      </w:r>
      <w:r w:rsidR="00D24B0D" w:rsidRPr="002268CA">
        <w:rPr>
          <w:rFonts w:hint="eastAsia"/>
          <w:spacing w:val="-2"/>
        </w:rPr>
        <w:t>れる</w:t>
      </w:r>
      <w:r w:rsidR="00D909B0" w:rsidRPr="002268CA">
        <w:rPr>
          <w:rFonts w:hint="eastAsia"/>
          <w:spacing w:val="-2"/>
        </w:rPr>
        <w:t>ほか、</w:t>
      </w:r>
      <w:r w:rsidR="00A72675" w:rsidRPr="002268CA">
        <w:rPr>
          <w:rFonts w:hint="eastAsia"/>
          <w:spacing w:val="-2"/>
        </w:rPr>
        <w:t>官民格差是正の</w:t>
      </w:r>
      <w:r w:rsidR="00A72675" w:rsidRPr="002268CA">
        <w:rPr>
          <w:rFonts w:hint="eastAsia"/>
          <w:spacing w:val="-6"/>
        </w:rPr>
        <w:t>面からも、</w:t>
      </w:r>
      <w:r w:rsidR="00E427CC" w:rsidRPr="002268CA">
        <w:rPr>
          <w:rFonts w:hint="eastAsia"/>
          <w:spacing w:val="-6"/>
        </w:rPr>
        <w:t>これまでの制度見直しによる改善効果を</w:t>
      </w:r>
      <w:r w:rsidR="00996213" w:rsidRPr="002268CA">
        <w:rPr>
          <w:rFonts w:hint="eastAsia"/>
          <w:spacing w:val="-6"/>
        </w:rPr>
        <w:t>より</w:t>
      </w:r>
      <w:r w:rsidR="00E427CC" w:rsidRPr="002268CA">
        <w:rPr>
          <w:rFonts w:hint="eastAsia"/>
          <w:spacing w:val="-6"/>
        </w:rPr>
        <w:t>一層発揮する意味で、更なる見直しを</w:t>
      </w:r>
      <w:r w:rsidR="00E427CC" w:rsidRPr="002268CA">
        <w:rPr>
          <w:rFonts w:hint="eastAsia"/>
          <w:spacing w:val="-2"/>
        </w:rPr>
        <w:t>行うべき項目</w:t>
      </w:r>
      <w:r w:rsidR="00D24B0D" w:rsidRPr="002268CA">
        <w:rPr>
          <w:rFonts w:hint="eastAsia"/>
          <w:spacing w:val="-2"/>
        </w:rPr>
        <w:t>が</w:t>
      </w:r>
      <w:r w:rsidR="00E427CC" w:rsidRPr="002268CA">
        <w:rPr>
          <w:rFonts w:hint="eastAsia"/>
          <w:spacing w:val="-2"/>
        </w:rPr>
        <w:t>あるとの</w:t>
      </w:r>
      <w:r w:rsidR="00664C22" w:rsidRPr="002268CA">
        <w:rPr>
          <w:rFonts w:hint="eastAsia"/>
          <w:spacing w:val="-2"/>
        </w:rPr>
        <w:t>認識</w:t>
      </w:r>
      <w:r w:rsidR="00E427CC" w:rsidRPr="002268CA">
        <w:rPr>
          <w:rFonts w:hint="eastAsia"/>
          <w:spacing w:val="-2"/>
        </w:rPr>
        <w:t>に至った</w:t>
      </w:r>
      <w:r w:rsidR="00664C22" w:rsidRPr="002268CA">
        <w:rPr>
          <w:rFonts w:hint="eastAsia"/>
          <w:spacing w:val="-2"/>
        </w:rPr>
        <w:t>ところであり、以下のとおり人事院</w:t>
      </w:r>
      <w:r w:rsidR="005B04B3" w:rsidRPr="002268CA">
        <w:rPr>
          <w:rFonts w:hint="eastAsia"/>
          <w:spacing w:val="-2"/>
        </w:rPr>
        <w:t>及び内閣人事局</w:t>
      </w:r>
      <w:r w:rsidR="00664C22" w:rsidRPr="002268CA">
        <w:rPr>
          <w:rFonts w:hint="eastAsia"/>
          <w:spacing w:val="-2"/>
        </w:rPr>
        <w:t>に</w:t>
      </w:r>
      <w:r w:rsidR="00664C22" w:rsidRPr="002268CA">
        <w:rPr>
          <w:rFonts w:hint="eastAsia"/>
        </w:rPr>
        <w:t>対し対応を求めるものである</w:t>
      </w:r>
      <w:r w:rsidR="00E427CC" w:rsidRPr="002268CA">
        <w:rPr>
          <w:rFonts w:hint="eastAsia"/>
        </w:rPr>
        <w:t>。</w:t>
      </w:r>
      <w:r w:rsidR="00565755" w:rsidRPr="002268CA">
        <w:rPr>
          <w:rFonts w:hint="eastAsia"/>
        </w:rPr>
        <w:t>なお、下記見直しにあたっては、公務を真に有為な人材を惹きつける魅力ある職として磨き上げていく</w:t>
      </w:r>
      <w:r w:rsidR="005972F3" w:rsidRPr="002268CA">
        <w:rPr>
          <w:rFonts w:hint="eastAsia"/>
        </w:rPr>
        <w:t>との要請・</w:t>
      </w:r>
      <w:r w:rsidR="00565755" w:rsidRPr="002268CA">
        <w:rPr>
          <w:rFonts w:hint="eastAsia"/>
        </w:rPr>
        <w:t>視点</w:t>
      </w:r>
      <w:r w:rsidR="005972F3" w:rsidRPr="002268CA">
        <w:rPr>
          <w:rFonts w:hint="eastAsia"/>
        </w:rPr>
        <w:t>への配慮</w:t>
      </w:r>
      <w:r w:rsidR="00565755" w:rsidRPr="002268CA">
        <w:rPr>
          <w:rFonts w:hint="eastAsia"/>
        </w:rPr>
        <w:t>も忘れてはならない。</w:t>
      </w:r>
    </w:p>
    <w:p w14:paraId="02D3EA6B" w14:textId="283CECB3" w:rsidR="00D909B0" w:rsidRPr="002268CA" w:rsidRDefault="002268CA" w:rsidP="002268CA">
      <w:pPr>
        <w:pStyle w:val="ad"/>
        <w:jc w:val="both"/>
      </w:pPr>
      <w:r>
        <w:rPr>
          <w:rFonts w:hint="eastAsia"/>
        </w:rPr>
        <w:t xml:space="preserve">  </w:t>
      </w:r>
      <w:r w:rsidR="00E427CC" w:rsidRPr="002268CA">
        <w:rPr>
          <w:rFonts w:hint="eastAsia"/>
          <w:spacing w:val="2"/>
        </w:rPr>
        <w:t>また、</w:t>
      </w:r>
      <w:r w:rsidR="00664C22" w:rsidRPr="002268CA">
        <w:rPr>
          <w:rFonts w:hint="eastAsia"/>
          <w:spacing w:val="2"/>
        </w:rPr>
        <w:t>下記３．のとおり、</w:t>
      </w:r>
      <w:r w:rsidR="00D909B0" w:rsidRPr="002268CA">
        <w:rPr>
          <w:rFonts w:hint="eastAsia"/>
          <w:spacing w:val="2"/>
        </w:rPr>
        <w:t>人事院勧告制度と関連して</w:t>
      </w:r>
      <w:r w:rsidR="00A17617" w:rsidRPr="002268CA">
        <w:rPr>
          <w:rFonts w:hint="eastAsia"/>
          <w:spacing w:val="2"/>
        </w:rPr>
        <w:t>、</w:t>
      </w:r>
      <w:r w:rsidR="00D909B0" w:rsidRPr="002268CA">
        <w:rPr>
          <w:rFonts w:hint="eastAsia"/>
          <w:spacing w:val="2"/>
        </w:rPr>
        <w:t>地方公務員の給与についても</w:t>
      </w:r>
      <w:r w:rsidR="00D909B0" w:rsidRPr="002268CA">
        <w:rPr>
          <w:rFonts w:hint="eastAsia"/>
          <w:spacing w:val="-2"/>
        </w:rPr>
        <w:t>適正化に向けた課題がある</w:t>
      </w:r>
      <w:r w:rsidR="00E427CC" w:rsidRPr="002268CA">
        <w:rPr>
          <w:rFonts w:hint="eastAsia"/>
          <w:spacing w:val="-2"/>
        </w:rPr>
        <w:t>ことから、当チームとして、引き続き、検討を続けていくことと</w:t>
      </w:r>
      <w:r w:rsidR="00E427CC" w:rsidRPr="002268CA">
        <w:rPr>
          <w:rFonts w:hint="eastAsia"/>
        </w:rPr>
        <w:t>する。</w:t>
      </w:r>
    </w:p>
    <w:p w14:paraId="16D4ACBE" w14:textId="77777777" w:rsidR="00A72675" w:rsidRPr="002268CA" w:rsidRDefault="00A72675" w:rsidP="002268CA">
      <w:pPr>
        <w:pStyle w:val="ad"/>
        <w:jc w:val="left"/>
      </w:pPr>
    </w:p>
    <w:p w14:paraId="77F3AC65" w14:textId="77777777" w:rsidR="00D909B0" w:rsidRPr="002268CA" w:rsidRDefault="00D909B0" w:rsidP="002268CA">
      <w:pPr>
        <w:pStyle w:val="ab"/>
      </w:pPr>
      <w:r w:rsidRPr="002268CA">
        <w:rPr>
          <w:rFonts w:hint="eastAsia"/>
        </w:rPr>
        <w:t>記</w:t>
      </w:r>
    </w:p>
    <w:p w14:paraId="5A299873" w14:textId="77777777" w:rsidR="00D909B0" w:rsidRPr="002268CA" w:rsidRDefault="00D909B0" w:rsidP="002268CA">
      <w:pPr>
        <w:rPr>
          <w:rFonts w:asciiTheme="minorEastAsia" w:hAnsiTheme="minorEastAsia"/>
          <w:szCs w:val="24"/>
        </w:rPr>
      </w:pPr>
    </w:p>
    <w:p w14:paraId="08CA5410" w14:textId="77777777" w:rsidR="00D909B0" w:rsidRPr="002268CA" w:rsidRDefault="00D909B0" w:rsidP="002268CA">
      <w:pPr>
        <w:rPr>
          <w:rFonts w:asciiTheme="minorEastAsia" w:hAnsiTheme="minorEastAsia"/>
          <w:b/>
          <w:sz w:val="28"/>
          <w:szCs w:val="28"/>
          <w:u w:val="single"/>
        </w:rPr>
      </w:pPr>
      <w:r w:rsidRPr="002268CA">
        <w:rPr>
          <w:rFonts w:asciiTheme="minorEastAsia" w:hAnsiTheme="minorEastAsia" w:hint="eastAsia"/>
          <w:b/>
          <w:sz w:val="28"/>
          <w:szCs w:val="28"/>
          <w:u w:val="single"/>
        </w:rPr>
        <w:t>１．職種、職務・職責に応じたメリハリのある給与体系の構築</w:t>
      </w:r>
      <w:r w:rsidR="00784373" w:rsidRPr="002268CA">
        <w:rPr>
          <w:rFonts w:asciiTheme="minorEastAsia" w:hAnsiTheme="minorEastAsia" w:hint="eastAsia"/>
          <w:b/>
          <w:sz w:val="28"/>
          <w:szCs w:val="28"/>
          <w:u w:val="single"/>
        </w:rPr>
        <w:t>等</w:t>
      </w:r>
      <w:r w:rsidRPr="002268CA">
        <w:rPr>
          <w:rFonts w:asciiTheme="minorEastAsia" w:hAnsiTheme="minorEastAsia" w:hint="eastAsia"/>
          <w:b/>
          <w:sz w:val="28"/>
          <w:szCs w:val="28"/>
          <w:u w:val="single"/>
        </w:rPr>
        <w:t>について</w:t>
      </w:r>
    </w:p>
    <w:p w14:paraId="07D02393" w14:textId="77777777" w:rsidR="002268CA" w:rsidRDefault="002268CA" w:rsidP="002268CA">
      <w:pPr>
        <w:rPr>
          <w:rFonts w:asciiTheme="minorEastAsia" w:hAnsiTheme="minorEastAsia"/>
          <w:szCs w:val="24"/>
        </w:rPr>
      </w:pPr>
    </w:p>
    <w:p w14:paraId="3F0605A9" w14:textId="77777777" w:rsidR="002268CA" w:rsidRDefault="00D909B0" w:rsidP="00B20010">
      <w:pPr>
        <w:spacing w:afterLines="25" w:after="83"/>
        <w:ind w:left="720" w:hangingChars="300" w:hanging="720"/>
        <w:rPr>
          <w:rFonts w:asciiTheme="minorEastAsia" w:hAnsiTheme="minorEastAsia"/>
          <w:szCs w:val="24"/>
        </w:rPr>
      </w:pPr>
      <w:r w:rsidRPr="002268CA">
        <w:rPr>
          <w:rFonts w:asciiTheme="minorEastAsia" w:hAnsiTheme="minorEastAsia" w:hint="eastAsia"/>
          <w:szCs w:val="24"/>
        </w:rPr>
        <w:t>（１）現在の国家公務員の給与体系は、</w:t>
      </w:r>
      <w:r w:rsidR="005A2FC3" w:rsidRPr="002268CA">
        <w:rPr>
          <w:rFonts w:asciiTheme="minorEastAsia" w:hAnsiTheme="minorEastAsia" w:hint="eastAsia"/>
          <w:szCs w:val="24"/>
        </w:rPr>
        <w:t>職務</w:t>
      </w:r>
      <w:r w:rsidR="00A17617" w:rsidRPr="002268CA">
        <w:rPr>
          <w:rFonts w:asciiTheme="minorEastAsia" w:hAnsiTheme="minorEastAsia" w:hint="eastAsia"/>
          <w:szCs w:val="24"/>
        </w:rPr>
        <w:t>（・職責）</w:t>
      </w:r>
      <w:r w:rsidR="005A2FC3" w:rsidRPr="002268CA">
        <w:rPr>
          <w:rFonts w:asciiTheme="minorEastAsia" w:hAnsiTheme="minorEastAsia" w:hint="eastAsia"/>
          <w:szCs w:val="24"/>
        </w:rPr>
        <w:t>と給与</w:t>
      </w:r>
      <w:r w:rsidR="00A17617" w:rsidRPr="002268CA">
        <w:rPr>
          <w:rFonts w:asciiTheme="minorEastAsia" w:hAnsiTheme="minorEastAsia" w:hint="eastAsia"/>
          <w:szCs w:val="24"/>
        </w:rPr>
        <w:t>の関係が希薄で、</w:t>
      </w:r>
      <w:r w:rsidRPr="002268CA">
        <w:rPr>
          <w:rFonts w:asciiTheme="minorEastAsia" w:hAnsiTheme="minorEastAsia" w:hint="eastAsia"/>
          <w:szCs w:val="24"/>
        </w:rPr>
        <w:t>昇進せず</w:t>
      </w:r>
      <w:r w:rsidRPr="002268CA">
        <w:rPr>
          <w:rFonts w:asciiTheme="minorEastAsia" w:hAnsiTheme="minorEastAsia" w:hint="eastAsia"/>
          <w:spacing w:val="-2"/>
          <w:szCs w:val="24"/>
        </w:rPr>
        <w:t>とも</w:t>
      </w:r>
      <w:r w:rsidR="007420AA" w:rsidRPr="002268CA">
        <w:rPr>
          <w:rFonts w:asciiTheme="minorEastAsia" w:hAnsiTheme="minorEastAsia" w:hint="eastAsia"/>
          <w:spacing w:val="-2"/>
          <w:szCs w:val="24"/>
        </w:rPr>
        <w:t>年功序列的に</w:t>
      </w:r>
      <w:r w:rsidRPr="002268CA">
        <w:rPr>
          <w:rFonts w:asciiTheme="minorEastAsia" w:hAnsiTheme="minorEastAsia" w:hint="eastAsia"/>
          <w:spacing w:val="-2"/>
          <w:szCs w:val="24"/>
        </w:rPr>
        <w:t>給与が上がる仕組みになって</w:t>
      </w:r>
      <w:r w:rsidR="00A17617" w:rsidRPr="002268CA">
        <w:rPr>
          <w:rFonts w:asciiTheme="minorEastAsia" w:hAnsiTheme="minorEastAsia" w:hint="eastAsia"/>
          <w:spacing w:val="-2"/>
          <w:szCs w:val="24"/>
        </w:rPr>
        <w:t>いる。この結果、</w:t>
      </w:r>
      <w:r w:rsidRPr="002268CA">
        <w:rPr>
          <w:rFonts w:asciiTheme="minorEastAsia" w:hAnsiTheme="minorEastAsia" w:hint="eastAsia"/>
          <w:spacing w:val="-2"/>
          <w:szCs w:val="24"/>
        </w:rPr>
        <w:t>昇進すれば、職責が</w:t>
      </w:r>
      <w:r w:rsidRPr="002268CA">
        <w:rPr>
          <w:rFonts w:asciiTheme="minorEastAsia" w:hAnsiTheme="minorEastAsia" w:hint="eastAsia"/>
          <w:szCs w:val="24"/>
        </w:rPr>
        <w:t>重くなるにもかかわらず、</w:t>
      </w:r>
      <w:r w:rsidR="00A17617" w:rsidRPr="002268CA">
        <w:rPr>
          <w:rFonts w:asciiTheme="minorEastAsia" w:hAnsiTheme="minorEastAsia" w:hint="eastAsia"/>
          <w:szCs w:val="24"/>
        </w:rPr>
        <w:t>逆に</w:t>
      </w:r>
      <w:r w:rsidRPr="002268CA">
        <w:rPr>
          <w:rFonts w:asciiTheme="minorEastAsia" w:hAnsiTheme="minorEastAsia" w:hint="eastAsia"/>
          <w:szCs w:val="24"/>
        </w:rPr>
        <w:t>残業手当が支給されなく</w:t>
      </w:r>
      <w:r w:rsidR="007420AA" w:rsidRPr="002268CA">
        <w:rPr>
          <w:rFonts w:asciiTheme="minorEastAsia" w:hAnsiTheme="minorEastAsia" w:hint="eastAsia"/>
          <w:szCs w:val="24"/>
        </w:rPr>
        <w:t>な</w:t>
      </w:r>
      <w:r w:rsidRPr="002268CA">
        <w:rPr>
          <w:rFonts w:asciiTheme="minorEastAsia" w:hAnsiTheme="minorEastAsia" w:hint="eastAsia"/>
          <w:szCs w:val="24"/>
        </w:rPr>
        <w:t>り総収入が減少するなど、昇格メリットが少なく昇進インセンティブを削ぐものとなって</w:t>
      </w:r>
      <w:r w:rsidR="00A17617" w:rsidRPr="002268CA">
        <w:rPr>
          <w:rFonts w:asciiTheme="minorEastAsia" w:hAnsiTheme="minorEastAsia" w:hint="eastAsia"/>
          <w:szCs w:val="24"/>
        </w:rPr>
        <w:t>おり、有能な人材や</w:t>
      </w:r>
      <w:r w:rsidR="00A17617" w:rsidRPr="002268CA">
        <w:rPr>
          <w:rFonts w:asciiTheme="minorEastAsia" w:hAnsiTheme="minorEastAsia" w:hint="eastAsia"/>
          <w:spacing w:val="-2"/>
          <w:szCs w:val="24"/>
        </w:rPr>
        <w:t>やる気のある若手の公務離れの一因ともなっている</w:t>
      </w:r>
      <w:r w:rsidRPr="002268CA">
        <w:rPr>
          <w:rFonts w:asciiTheme="minorEastAsia" w:hAnsiTheme="minorEastAsia" w:hint="eastAsia"/>
          <w:spacing w:val="-2"/>
          <w:szCs w:val="24"/>
        </w:rPr>
        <w:t>。このような状況を打開するため、</w:t>
      </w:r>
      <w:r w:rsidRPr="002268CA">
        <w:rPr>
          <w:rFonts w:asciiTheme="minorEastAsia" w:hAnsiTheme="minorEastAsia" w:hint="eastAsia"/>
          <w:spacing w:val="-8"/>
          <w:szCs w:val="24"/>
        </w:rPr>
        <w:t>一定号俸以上は昇給を抑制するなど、級別の給与較差（等級ごとの独立性）をはっきりと</w:t>
      </w:r>
      <w:r w:rsidRPr="002268CA">
        <w:rPr>
          <w:rFonts w:asciiTheme="minorEastAsia" w:hAnsiTheme="minorEastAsia" w:hint="eastAsia"/>
          <w:szCs w:val="24"/>
        </w:rPr>
        <w:t>付ける措置を導入すること。</w:t>
      </w:r>
    </w:p>
    <w:p w14:paraId="5091323D" w14:textId="77777777" w:rsidR="00B20010" w:rsidRDefault="00B20010">
      <w:pPr>
        <w:widowControl/>
        <w:jc w:val="left"/>
        <w:rPr>
          <w:rFonts w:asciiTheme="minorEastAsia" w:hAnsiTheme="minorEastAsia"/>
          <w:szCs w:val="24"/>
        </w:rPr>
      </w:pPr>
      <w:r>
        <w:rPr>
          <w:rFonts w:asciiTheme="minorEastAsia" w:hAnsiTheme="minorEastAsia"/>
          <w:szCs w:val="24"/>
        </w:rPr>
        <w:br w:type="page"/>
      </w:r>
    </w:p>
    <w:p w14:paraId="3A5C1882" w14:textId="16BC4AE0" w:rsidR="002268CA" w:rsidRDefault="00C65D35" w:rsidP="00B20010">
      <w:pPr>
        <w:spacing w:afterLines="25" w:after="83"/>
        <w:ind w:left="720" w:hangingChars="300" w:hanging="720"/>
        <w:rPr>
          <w:rFonts w:asciiTheme="minorEastAsia" w:hAnsiTheme="minorEastAsia"/>
          <w:szCs w:val="24"/>
        </w:rPr>
      </w:pPr>
      <w:r w:rsidRPr="002268CA">
        <w:rPr>
          <w:rFonts w:asciiTheme="minorEastAsia" w:hAnsiTheme="minorEastAsia" w:hint="eastAsia"/>
          <w:szCs w:val="24"/>
        </w:rPr>
        <w:lastRenderedPageBreak/>
        <w:t>（２）</w:t>
      </w:r>
      <w:r w:rsidR="00D909B0" w:rsidRPr="002268CA">
        <w:rPr>
          <w:rFonts w:asciiTheme="minorEastAsia" w:hAnsiTheme="minorEastAsia" w:hint="eastAsia"/>
          <w:spacing w:val="-2"/>
          <w:szCs w:val="24"/>
        </w:rPr>
        <w:t>能力・実績主義の給与に資するよう、人事評価制度を見直し、人事評価結果を給与に</w:t>
      </w:r>
      <w:r w:rsidR="00D909B0" w:rsidRPr="002268CA">
        <w:rPr>
          <w:rFonts w:asciiTheme="minorEastAsia" w:hAnsiTheme="minorEastAsia" w:hint="eastAsia"/>
          <w:szCs w:val="24"/>
        </w:rPr>
        <w:t>厳格に反映できる仕組みを導入すること。</w:t>
      </w:r>
    </w:p>
    <w:p w14:paraId="0BA12121" w14:textId="7A251800" w:rsidR="00D909B0" w:rsidRPr="002268CA" w:rsidRDefault="00D909B0" w:rsidP="002268CA">
      <w:pPr>
        <w:ind w:left="720" w:hangingChars="300" w:hanging="720"/>
        <w:rPr>
          <w:rFonts w:asciiTheme="minorEastAsia" w:hAnsiTheme="minorEastAsia"/>
          <w:szCs w:val="24"/>
        </w:rPr>
      </w:pPr>
      <w:r w:rsidRPr="002268CA">
        <w:rPr>
          <w:rFonts w:asciiTheme="minorEastAsia" w:hAnsiTheme="minorEastAsia" w:hint="eastAsia"/>
          <w:szCs w:val="24"/>
        </w:rPr>
        <w:t>（３）</w:t>
      </w:r>
      <w:r w:rsidR="000C6F75" w:rsidRPr="002268CA">
        <w:rPr>
          <w:rFonts w:asciiTheme="minorEastAsia" w:hAnsiTheme="minorEastAsia" w:hint="eastAsia"/>
          <w:szCs w:val="24"/>
        </w:rPr>
        <w:t>経験豊富</w:t>
      </w:r>
      <w:r w:rsidR="005027AC" w:rsidRPr="002268CA">
        <w:rPr>
          <w:rFonts w:asciiTheme="minorEastAsia" w:hAnsiTheme="minorEastAsia" w:hint="eastAsia"/>
          <w:szCs w:val="24"/>
        </w:rPr>
        <w:t>な人材</w:t>
      </w:r>
      <w:r w:rsidR="00565755" w:rsidRPr="002268CA">
        <w:rPr>
          <w:rFonts w:asciiTheme="minorEastAsia" w:hAnsiTheme="minorEastAsia" w:hint="eastAsia"/>
          <w:szCs w:val="24"/>
        </w:rPr>
        <w:t>が将来にわたるキャリアパスを明確に描けるよう、</w:t>
      </w:r>
      <w:r w:rsidR="008E1156" w:rsidRPr="002268CA">
        <w:rPr>
          <w:rFonts w:asciiTheme="minorEastAsia" w:hAnsiTheme="minorEastAsia" w:hint="eastAsia"/>
          <w:szCs w:val="24"/>
        </w:rPr>
        <w:t>早期退職慣行を見直し、定年制が順守される取組みを進めることで、</w:t>
      </w:r>
      <w:r w:rsidR="005E37F2" w:rsidRPr="002268CA">
        <w:rPr>
          <w:rFonts w:asciiTheme="minorEastAsia" w:hAnsiTheme="minorEastAsia" w:hint="eastAsia"/>
          <w:szCs w:val="24"/>
        </w:rPr>
        <w:t>可能な限り</w:t>
      </w:r>
      <w:r w:rsidR="000C6F75" w:rsidRPr="002268CA">
        <w:rPr>
          <w:rFonts w:asciiTheme="minorEastAsia" w:hAnsiTheme="minorEastAsia" w:hint="eastAsia"/>
          <w:szCs w:val="24"/>
        </w:rPr>
        <w:t>長期に公務の場で活躍してもら</w:t>
      </w:r>
      <w:r w:rsidR="004C229F" w:rsidRPr="002268CA">
        <w:rPr>
          <w:rFonts w:asciiTheme="minorEastAsia" w:hAnsiTheme="minorEastAsia" w:hint="eastAsia"/>
          <w:szCs w:val="24"/>
        </w:rPr>
        <w:t>えることとする</w:t>
      </w:r>
      <w:r w:rsidR="008E1156" w:rsidRPr="002268CA">
        <w:rPr>
          <w:rFonts w:asciiTheme="minorEastAsia" w:hAnsiTheme="minorEastAsia" w:hint="eastAsia"/>
          <w:szCs w:val="24"/>
        </w:rPr>
        <w:t>ほか、</w:t>
      </w:r>
      <w:r w:rsidR="00164BA3" w:rsidRPr="002268CA">
        <w:rPr>
          <w:rFonts w:asciiTheme="minorEastAsia" w:hAnsiTheme="minorEastAsia" w:hint="eastAsia"/>
          <w:szCs w:val="24"/>
        </w:rPr>
        <w:t>再就職をめぐる問題にも資するため、</w:t>
      </w:r>
      <w:r w:rsidR="00996213" w:rsidRPr="002268CA">
        <w:rPr>
          <w:rFonts w:asciiTheme="minorEastAsia" w:hAnsiTheme="minorEastAsia" w:hint="eastAsia"/>
          <w:szCs w:val="24"/>
        </w:rPr>
        <w:t>21世紀に相応しいキャリアパスの構築を図ること</w:t>
      </w:r>
      <w:r w:rsidR="005027AC" w:rsidRPr="002268CA">
        <w:rPr>
          <w:rFonts w:asciiTheme="minorEastAsia" w:hAnsiTheme="minorEastAsia" w:hint="eastAsia"/>
          <w:szCs w:val="24"/>
        </w:rPr>
        <w:t>。</w:t>
      </w:r>
    </w:p>
    <w:p w14:paraId="3F80986D" w14:textId="77777777" w:rsidR="00A72675" w:rsidRPr="002268CA" w:rsidRDefault="00A72675" w:rsidP="002268CA">
      <w:pPr>
        <w:rPr>
          <w:rFonts w:asciiTheme="minorEastAsia" w:hAnsiTheme="minorEastAsia"/>
          <w:szCs w:val="24"/>
        </w:rPr>
      </w:pPr>
    </w:p>
    <w:p w14:paraId="4364523B" w14:textId="61BE9D49" w:rsidR="00E427CC" w:rsidRPr="00AC0088" w:rsidRDefault="00A72675" w:rsidP="00AC0088">
      <w:pPr>
        <w:rPr>
          <w:rFonts w:asciiTheme="minorEastAsia" w:hAnsiTheme="minorEastAsia"/>
          <w:b/>
          <w:sz w:val="28"/>
          <w:szCs w:val="28"/>
          <w:u w:val="single"/>
        </w:rPr>
      </w:pPr>
      <w:r w:rsidRPr="00AC0088">
        <w:rPr>
          <w:rFonts w:asciiTheme="minorEastAsia" w:hAnsiTheme="minorEastAsia" w:hint="eastAsia"/>
          <w:b/>
          <w:sz w:val="28"/>
          <w:szCs w:val="28"/>
          <w:u w:val="single"/>
        </w:rPr>
        <w:t>２</w:t>
      </w:r>
      <w:r w:rsidR="00E427CC" w:rsidRPr="00AC0088">
        <w:rPr>
          <w:rFonts w:asciiTheme="minorEastAsia" w:hAnsiTheme="minorEastAsia" w:hint="eastAsia"/>
          <w:b/>
          <w:sz w:val="28"/>
          <w:szCs w:val="28"/>
          <w:u w:val="single"/>
        </w:rPr>
        <w:t>．官民較差の是正を見据えた国家公務員の給与体系の在り方</w:t>
      </w:r>
      <w:r w:rsidR="005B04B3" w:rsidRPr="00AC0088">
        <w:rPr>
          <w:rFonts w:asciiTheme="minorEastAsia" w:hAnsiTheme="minorEastAsia" w:hint="eastAsia"/>
          <w:b/>
          <w:sz w:val="28"/>
          <w:szCs w:val="28"/>
          <w:u w:val="single"/>
        </w:rPr>
        <w:t>等</w:t>
      </w:r>
      <w:r w:rsidR="00E427CC" w:rsidRPr="00AC0088">
        <w:rPr>
          <w:rFonts w:asciiTheme="minorEastAsia" w:hAnsiTheme="minorEastAsia" w:hint="eastAsia"/>
          <w:b/>
          <w:sz w:val="28"/>
          <w:szCs w:val="28"/>
          <w:u w:val="single"/>
        </w:rPr>
        <w:t>について</w:t>
      </w:r>
    </w:p>
    <w:p w14:paraId="033175C3" w14:textId="77777777" w:rsidR="00AC0088" w:rsidRDefault="00AC0088" w:rsidP="00AC0088">
      <w:pPr>
        <w:rPr>
          <w:rFonts w:asciiTheme="minorEastAsia" w:hAnsiTheme="minorEastAsia"/>
          <w:b/>
          <w:szCs w:val="24"/>
        </w:rPr>
      </w:pPr>
    </w:p>
    <w:p w14:paraId="7AB389F5" w14:textId="2C2D7391" w:rsidR="00E427CC" w:rsidRPr="002268CA" w:rsidRDefault="00E427CC" w:rsidP="00B20010">
      <w:pPr>
        <w:spacing w:afterLines="50" w:after="166"/>
        <w:ind w:leftChars="-50" w:left="-120"/>
        <w:rPr>
          <w:rFonts w:asciiTheme="minorEastAsia" w:hAnsiTheme="minorEastAsia"/>
          <w:b/>
          <w:szCs w:val="24"/>
        </w:rPr>
      </w:pPr>
      <w:r w:rsidRPr="002268CA">
        <w:rPr>
          <w:rFonts w:asciiTheme="minorEastAsia" w:hAnsiTheme="minorEastAsia" w:hint="eastAsia"/>
          <w:b/>
          <w:szCs w:val="24"/>
        </w:rPr>
        <w:t>（１）国家公務員全体の給与水準</w:t>
      </w:r>
      <w:r w:rsidR="00737E5F" w:rsidRPr="002268CA">
        <w:rPr>
          <w:rFonts w:asciiTheme="minorEastAsia" w:hAnsiTheme="minorEastAsia" w:hint="eastAsia"/>
          <w:b/>
          <w:szCs w:val="24"/>
        </w:rPr>
        <w:t>、官民格差是正</w:t>
      </w:r>
      <w:r w:rsidRPr="002268CA">
        <w:rPr>
          <w:rFonts w:asciiTheme="minorEastAsia" w:hAnsiTheme="minorEastAsia" w:hint="eastAsia"/>
          <w:b/>
          <w:szCs w:val="24"/>
        </w:rPr>
        <w:t>について</w:t>
      </w:r>
    </w:p>
    <w:p w14:paraId="3F1E8DF6" w14:textId="77777777" w:rsidR="00AC0088" w:rsidRDefault="00AC0088" w:rsidP="00B20010">
      <w:pPr>
        <w:spacing w:afterLines="25" w:after="83"/>
        <w:ind w:leftChars="100" w:left="600" w:hangingChars="150" w:hanging="360"/>
        <w:rPr>
          <w:rFonts w:asciiTheme="minorEastAsia" w:hAnsiTheme="minorEastAsia"/>
          <w:szCs w:val="24"/>
        </w:rPr>
      </w:pPr>
      <w:r>
        <w:rPr>
          <w:rFonts w:asciiTheme="minorEastAsia" w:hAnsiTheme="minorEastAsia" w:hint="eastAsia"/>
          <w:szCs w:val="24"/>
        </w:rPr>
        <w:t xml:space="preserve">① </w:t>
      </w:r>
      <w:r w:rsidR="00A72675" w:rsidRPr="00AC0088">
        <w:rPr>
          <w:rFonts w:asciiTheme="minorEastAsia" w:hAnsiTheme="minorEastAsia" w:hint="eastAsia"/>
          <w:spacing w:val="-4"/>
          <w:szCs w:val="24"/>
        </w:rPr>
        <w:t>国には倒産、</w:t>
      </w:r>
      <w:r w:rsidR="00E427CC" w:rsidRPr="00AC0088">
        <w:rPr>
          <w:rFonts w:asciiTheme="minorEastAsia" w:hAnsiTheme="minorEastAsia" w:hint="eastAsia"/>
          <w:spacing w:val="-4"/>
          <w:szCs w:val="24"/>
        </w:rPr>
        <w:t>失業リスクがな</w:t>
      </w:r>
      <w:r w:rsidR="00173811" w:rsidRPr="00AC0088">
        <w:rPr>
          <w:rFonts w:asciiTheme="minorEastAsia" w:hAnsiTheme="minorEastAsia" w:hint="eastAsia"/>
          <w:spacing w:val="-4"/>
          <w:szCs w:val="24"/>
        </w:rPr>
        <w:t>く、巨額の財政赤字を抱えているにもかかわらず、民間の</w:t>
      </w:r>
      <w:r w:rsidR="00173811" w:rsidRPr="00AC0088">
        <w:rPr>
          <w:rFonts w:asciiTheme="minorEastAsia" w:hAnsiTheme="minorEastAsia" w:hint="eastAsia"/>
          <w:spacing w:val="-8"/>
          <w:szCs w:val="24"/>
        </w:rPr>
        <w:t>ように</w:t>
      </w:r>
      <w:r w:rsidR="001957C9" w:rsidRPr="00AC0088">
        <w:rPr>
          <w:rFonts w:asciiTheme="minorEastAsia" w:hAnsiTheme="minorEastAsia" w:hint="eastAsia"/>
          <w:spacing w:val="-8"/>
          <w:szCs w:val="24"/>
        </w:rPr>
        <w:t>職員の処遇に</w:t>
      </w:r>
      <w:r w:rsidR="00173811" w:rsidRPr="00AC0088">
        <w:rPr>
          <w:rFonts w:asciiTheme="minorEastAsia" w:hAnsiTheme="minorEastAsia" w:hint="eastAsia"/>
          <w:spacing w:val="-8"/>
          <w:szCs w:val="24"/>
        </w:rPr>
        <w:t>厳しく反映されることもない。まさに「公務の安定性」の賜物であり、</w:t>
      </w:r>
      <w:r w:rsidR="00E427CC" w:rsidRPr="002268CA">
        <w:rPr>
          <w:rFonts w:asciiTheme="minorEastAsia" w:hAnsiTheme="minorEastAsia" w:hint="eastAsia"/>
          <w:szCs w:val="24"/>
        </w:rPr>
        <w:t>国家公務員の給与水準は、こうした「公務の安定性」を踏まえた設定とすべきである</w:t>
      </w:r>
      <w:r w:rsidR="00173811" w:rsidRPr="002268CA">
        <w:rPr>
          <w:rFonts w:asciiTheme="minorEastAsia" w:hAnsiTheme="minorEastAsia" w:hint="eastAsia"/>
          <w:szCs w:val="24"/>
        </w:rPr>
        <w:t>。</w:t>
      </w:r>
      <w:r w:rsidR="00A72675" w:rsidRPr="00EC2EC3">
        <w:rPr>
          <w:rFonts w:asciiTheme="minorEastAsia" w:hAnsiTheme="minorEastAsia" w:hint="eastAsia"/>
          <w:spacing w:val="-4"/>
          <w:szCs w:val="24"/>
        </w:rPr>
        <w:t>少なくとも、</w:t>
      </w:r>
      <w:r w:rsidR="00E427CC" w:rsidRPr="00EC2EC3">
        <w:rPr>
          <w:rFonts w:asciiTheme="minorEastAsia" w:hAnsiTheme="minorEastAsia" w:hint="eastAsia"/>
          <w:spacing w:val="-4"/>
          <w:szCs w:val="24"/>
        </w:rPr>
        <w:t>民間企業従業員</w:t>
      </w:r>
      <w:r w:rsidR="00A72675" w:rsidRPr="00EC2EC3">
        <w:rPr>
          <w:rFonts w:asciiTheme="minorEastAsia" w:hAnsiTheme="minorEastAsia" w:hint="eastAsia"/>
          <w:spacing w:val="-4"/>
          <w:szCs w:val="24"/>
        </w:rPr>
        <w:t>と異なり、</w:t>
      </w:r>
      <w:r w:rsidR="00E427CC" w:rsidRPr="00EC2EC3">
        <w:rPr>
          <w:rFonts w:asciiTheme="minorEastAsia" w:hAnsiTheme="minorEastAsia" w:hint="eastAsia"/>
          <w:spacing w:val="-4"/>
          <w:szCs w:val="24"/>
        </w:rPr>
        <w:t>雇用保険の適用除外と</w:t>
      </w:r>
      <w:r w:rsidR="00A72675" w:rsidRPr="00EC2EC3">
        <w:rPr>
          <w:rFonts w:asciiTheme="minorEastAsia" w:hAnsiTheme="minorEastAsia" w:hint="eastAsia"/>
          <w:spacing w:val="-4"/>
          <w:szCs w:val="24"/>
        </w:rPr>
        <w:t>して</w:t>
      </w:r>
      <w:r w:rsidR="00E427CC" w:rsidRPr="00EC2EC3">
        <w:rPr>
          <w:rFonts w:asciiTheme="minorEastAsia" w:hAnsiTheme="minorEastAsia" w:hint="eastAsia"/>
          <w:spacing w:val="-4"/>
          <w:szCs w:val="24"/>
        </w:rPr>
        <w:t>掛け金を払う必要が</w:t>
      </w:r>
      <w:r w:rsidR="00E427CC" w:rsidRPr="00EC2EC3">
        <w:rPr>
          <w:rFonts w:asciiTheme="minorEastAsia" w:hAnsiTheme="minorEastAsia" w:hint="eastAsia"/>
          <w:szCs w:val="24"/>
        </w:rPr>
        <w:t>ない</w:t>
      </w:r>
      <w:r w:rsidR="00A72675" w:rsidRPr="00EC2EC3">
        <w:rPr>
          <w:rFonts w:asciiTheme="minorEastAsia" w:hAnsiTheme="minorEastAsia" w:hint="eastAsia"/>
          <w:szCs w:val="24"/>
        </w:rPr>
        <w:t>公務員については、その</w:t>
      </w:r>
      <w:r w:rsidR="00E427CC" w:rsidRPr="00EC2EC3">
        <w:rPr>
          <w:rFonts w:asciiTheme="minorEastAsia" w:hAnsiTheme="minorEastAsia" w:hint="eastAsia"/>
          <w:szCs w:val="24"/>
        </w:rPr>
        <w:t>給与水準を算出する際には、民間企業従業員の給与水準から雇用保険の掛け金相当分を差し引いた上で行う</w:t>
      </w:r>
      <w:r w:rsidR="00C65D35" w:rsidRPr="00EC2EC3">
        <w:rPr>
          <w:rFonts w:asciiTheme="minorEastAsia" w:hAnsiTheme="minorEastAsia" w:hint="eastAsia"/>
          <w:szCs w:val="24"/>
        </w:rPr>
        <w:t>こと</w:t>
      </w:r>
      <w:r w:rsidR="00F0383E" w:rsidRPr="00EC2EC3">
        <w:rPr>
          <w:rFonts w:asciiTheme="minorEastAsia" w:hAnsiTheme="minorEastAsia" w:hint="eastAsia"/>
          <w:szCs w:val="24"/>
        </w:rPr>
        <w:t>。</w:t>
      </w:r>
    </w:p>
    <w:p w14:paraId="73E6178D" w14:textId="1238F933" w:rsidR="00E427CC" w:rsidRPr="002268CA" w:rsidRDefault="00A72675" w:rsidP="00AC0088">
      <w:pPr>
        <w:ind w:leftChars="100" w:left="600" w:hangingChars="150" w:hanging="360"/>
        <w:rPr>
          <w:rFonts w:asciiTheme="minorEastAsia" w:hAnsiTheme="minorEastAsia"/>
          <w:szCs w:val="24"/>
        </w:rPr>
      </w:pPr>
      <w:r w:rsidRPr="002268CA">
        <w:rPr>
          <w:rFonts w:asciiTheme="minorEastAsia" w:hAnsiTheme="minorEastAsia" w:hint="eastAsia"/>
          <w:szCs w:val="24"/>
        </w:rPr>
        <w:t>②</w:t>
      </w:r>
      <w:r w:rsidR="00AC0088">
        <w:rPr>
          <w:rFonts w:asciiTheme="minorEastAsia" w:hAnsiTheme="minorEastAsia" w:hint="eastAsia"/>
          <w:szCs w:val="24"/>
        </w:rPr>
        <w:t xml:space="preserve"> </w:t>
      </w:r>
      <w:r w:rsidR="00D24B0D" w:rsidRPr="00EC2EC3">
        <w:rPr>
          <w:rFonts w:asciiTheme="minorEastAsia" w:hAnsiTheme="minorEastAsia" w:hint="eastAsia"/>
          <w:spacing w:val="-8"/>
          <w:szCs w:val="24"/>
        </w:rPr>
        <w:t>人事院の</w:t>
      </w:r>
      <w:r w:rsidR="00E427CC" w:rsidRPr="00EC2EC3">
        <w:rPr>
          <w:rFonts w:asciiTheme="minorEastAsia" w:hAnsiTheme="minorEastAsia" w:hint="eastAsia"/>
          <w:spacing w:val="-8"/>
          <w:szCs w:val="24"/>
        </w:rPr>
        <w:t>民間給与実態調査では、一般に公表されている民間平均給与に比べ、給与水準が</w:t>
      </w:r>
      <w:r w:rsidR="00E427CC" w:rsidRPr="00EC2EC3">
        <w:rPr>
          <w:rFonts w:asciiTheme="minorEastAsia" w:hAnsiTheme="minorEastAsia" w:hint="eastAsia"/>
          <w:spacing w:val="-4"/>
          <w:szCs w:val="24"/>
        </w:rPr>
        <w:t>高く算出されている。国家公務員の中にはホワイトカラーとは言い難い職種</w:t>
      </w:r>
      <w:r w:rsidR="00384BB5" w:rsidRPr="00EC2EC3">
        <w:rPr>
          <w:rFonts w:asciiTheme="minorEastAsia" w:hAnsiTheme="minorEastAsia" w:hint="eastAsia"/>
          <w:spacing w:val="-4"/>
          <w:szCs w:val="24"/>
        </w:rPr>
        <w:t>の</w:t>
      </w:r>
      <w:r w:rsidR="00E427CC" w:rsidRPr="00EC2EC3">
        <w:rPr>
          <w:rFonts w:asciiTheme="minorEastAsia" w:hAnsiTheme="minorEastAsia" w:hint="eastAsia"/>
          <w:spacing w:val="-4"/>
          <w:szCs w:val="24"/>
        </w:rPr>
        <w:t>者もいることなどを踏まえつつ、現行の官民給与の比較方法につ</w:t>
      </w:r>
      <w:r w:rsidR="00C65D35" w:rsidRPr="00EC2EC3">
        <w:rPr>
          <w:rFonts w:asciiTheme="minorEastAsia" w:hAnsiTheme="minorEastAsia" w:hint="eastAsia"/>
          <w:spacing w:val="-4"/>
          <w:szCs w:val="24"/>
        </w:rPr>
        <w:t>いて、改めて見直しを行うこと</w:t>
      </w:r>
      <w:r w:rsidR="00E427CC" w:rsidRPr="00EC2EC3">
        <w:rPr>
          <w:rFonts w:asciiTheme="minorEastAsia" w:hAnsiTheme="minorEastAsia" w:hint="eastAsia"/>
          <w:spacing w:val="-4"/>
          <w:szCs w:val="24"/>
        </w:rPr>
        <w:t>。</w:t>
      </w:r>
    </w:p>
    <w:p w14:paraId="5D227B73" w14:textId="77777777" w:rsidR="00A72675" w:rsidRPr="002268CA" w:rsidRDefault="00A72675" w:rsidP="00AC0088">
      <w:pPr>
        <w:rPr>
          <w:rFonts w:asciiTheme="minorEastAsia" w:hAnsiTheme="minorEastAsia"/>
          <w:szCs w:val="24"/>
        </w:rPr>
      </w:pPr>
    </w:p>
    <w:p w14:paraId="0EE6D51B" w14:textId="604372C0" w:rsidR="00E427CC" w:rsidRPr="002268CA" w:rsidRDefault="00E427CC" w:rsidP="00B20010">
      <w:pPr>
        <w:spacing w:afterLines="50" w:after="166"/>
        <w:ind w:leftChars="-50" w:left="-120"/>
        <w:rPr>
          <w:rFonts w:asciiTheme="minorEastAsia" w:hAnsiTheme="minorEastAsia"/>
          <w:b/>
          <w:szCs w:val="24"/>
        </w:rPr>
      </w:pPr>
      <w:r w:rsidRPr="002268CA">
        <w:rPr>
          <w:rFonts w:asciiTheme="minorEastAsia" w:hAnsiTheme="minorEastAsia" w:hint="eastAsia"/>
          <w:b/>
          <w:szCs w:val="24"/>
        </w:rPr>
        <w:t>（２）</w:t>
      </w:r>
      <w:r w:rsidR="00A72675" w:rsidRPr="002268CA">
        <w:rPr>
          <w:rFonts w:asciiTheme="minorEastAsia" w:hAnsiTheme="minorEastAsia" w:hint="eastAsia"/>
          <w:b/>
          <w:szCs w:val="24"/>
        </w:rPr>
        <w:t>各種手当の</w:t>
      </w:r>
      <w:r w:rsidR="00737E5F" w:rsidRPr="002268CA">
        <w:rPr>
          <w:rFonts w:asciiTheme="minorEastAsia" w:hAnsiTheme="minorEastAsia" w:hint="eastAsia"/>
          <w:b/>
          <w:szCs w:val="24"/>
        </w:rPr>
        <w:t>縮減・</w:t>
      </w:r>
      <w:r w:rsidR="00A72675" w:rsidRPr="002268CA">
        <w:rPr>
          <w:rFonts w:asciiTheme="minorEastAsia" w:hAnsiTheme="minorEastAsia" w:hint="eastAsia"/>
          <w:b/>
          <w:szCs w:val="24"/>
        </w:rPr>
        <w:t>改善について</w:t>
      </w:r>
    </w:p>
    <w:p w14:paraId="169611D6" w14:textId="3B0EFAC1" w:rsidR="00B23877" w:rsidRPr="002268CA" w:rsidRDefault="00B20010" w:rsidP="00B20010">
      <w:pPr>
        <w:spacing w:afterLines="50" w:after="166"/>
        <w:ind w:leftChars="100" w:left="240"/>
        <w:rPr>
          <w:rFonts w:asciiTheme="minorEastAsia" w:hAnsiTheme="minorEastAsia"/>
          <w:szCs w:val="24"/>
        </w:rPr>
      </w:pPr>
      <w:r>
        <w:rPr>
          <w:rFonts w:asciiTheme="minorEastAsia" w:hAnsiTheme="minorEastAsia" w:hint="eastAsia"/>
          <w:b/>
          <w:szCs w:val="24"/>
        </w:rPr>
        <w:t xml:space="preserve">  </w:t>
      </w:r>
      <w:r w:rsidR="00B23877" w:rsidRPr="002268CA">
        <w:rPr>
          <w:rFonts w:asciiTheme="minorEastAsia" w:hAnsiTheme="minorEastAsia" w:hint="eastAsia"/>
          <w:szCs w:val="24"/>
        </w:rPr>
        <w:t>平成18年度から平成22年度までに段階的に実施された給与構造改革の中で</w:t>
      </w:r>
      <w:r w:rsidR="005C25AC" w:rsidRPr="002268CA">
        <w:rPr>
          <w:rFonts w:asciiTheme="minorEastAsia" w:hAnsiTheme="minorEastAsia" w:hint="eastAsia"/>
          <w:szCs w:val="24"/>
        </w:rPr>
        <w:t>は、</w:t>
      </w:r>
      <w:r w:rsidR="00B23877" w:rsidRPr="002268CA">
        <w:rPr>
          <w:rFonts w:asciiTheme="minorEastAsia" w:hAnsiTheme="minorEastAsia" w:hint="eastAsia"/>
          <w:szCs w:val="24"/>
        </w:rPr>
        <w:t>国家</w:t>
      </w:r>
      <w:r w:rsidR="00B23877" w:rsidRPr="00B20010">
        <w:rPr>
          <w:rFonts w:asciiTheme="minorEastAsia" w:hAnsiTheme="minorEastAsia" w:hint="eastAsia"/>
          <w:spacing w:val="-6"/>
          <w:szCs w:val="24"/>
        </w:rPr>
        <w:t>公務員の本給を抑える一方で</w:t>
      </w:r>
      <w:r w:rsidR="00DD11F2" w:rsidRPr="00B20010">
        <w:rPr>
          <w:rFonts w:asciiTheme="minorEastAsia" w:hAnsiTheme="minorEastAsia" w:hint="eastAsia"/>
          <w:spacing w:val="-6"/>
          <w:szCs w:val="24"/>
        </w:rPr>
        <w:t>、</w:t>
      </w:r>
      <w:r w:rsidR="00B23877" w:rsidRPr="00B20010">
        <w:rPr>
          <w:rFonts w:asciiTheme="minorEastAsia" w:hAnsiTheme="minorEastAsia" w:hint="eastAsia"/>
          <w:spacing w:val="-6"/>
          <w:szCs w:val="24"/>
        </w:rPr>
        <w:t>各種の手当の新設</w:t>
      </w:r>
      <w:r w:rsidR="00DD11F2" w:rsidRPr="00B20010">
        <w:rPr>
          <w:rFonts w:asciiTheme="minorEastAsia" w:hAnsiTheme="minorEastAsia" w:hint="eastAsia"/>
          <w:spacing w:val="-6"/>
          <w:szCs w:val="24"/>
        </w:rPr>
        <w:t>等</w:t>
      </w:r>
      <w:r w:rsidR="00B23877" w:rsidRPr="00B20010">
        <w:rPr>
          <w:rFonts w:asciiTheme="minorEastAsia" w:hAnsiTheme="minorEastAsia" w:hint="eastAsia"/>
          <w:spacing w:val="-6"/>
          <w:szCs w:val="24"/>
        </w:rPr>
        <w:t>がなされている</w:t>
      </w:r>
      <w:r w:rsidR="00DD11F2" w:rsidRPr="00B20010">
        <w:rPr>
          <w:rFonts w:asciiTheme="minorEastAsia" w:hAnsiTheme="minorEastAsia" w:hint="eastAsia"/>
          <w:spacing w:val="-6"/>
          <w:szCs w:val="24"/>
        </w:rPr>
        <w:t>。人事政策上の要請から</w:t>
      </w:r>
      <w:r w:rsidR="00DD11F2" w:rsidRPr="00B20010">
        <w:rPr>
          <w:rFonts w:asciiTheme="minorEastAsia" w:hAnsiTheme="minorEastAsia" w:hint="eastAsia"/>
          <w:spacing w:val="-2"/>
          <w:szCs w:val="24"/>
        </w:rPr>
        <w:t>理解できる点もある反面、</w:t>
      </w:r>
      <w:r w:rsidR="00B23877" w:rsidRPr="00B20010">
        <w:rPr>
          <w:rFonts w:asciiTheme="minorEastAsia" w:hAnsiTheme="minorEastAsia" w:hint="eastAsia"/>
          <w:spacing w:val="-2"/>
          <w:szCs w:val="24"/>
        </w:rPr>
        <w:t>かえって給与構造の実態を見えにく</w:t>
      </w:r>
      <w:r w:rsidR="005C25AC" w:rsidRPr="00B20010">
        <w:rPr>
          <w:rFonts w:asciiTheme="minorEastAsia" w:hAnsiTheme="minorEastAsia" w:hint="eastAsia"/>
          <w:spacing w:val="-2"/>
          <w:szCs w:val="24"/>
        </w:rPr>
        <w:t>く</w:t>
      </w:r>
      <w:r w:rsidR="00B23877" w:rsidRPr="00B20010">
        <w:rPr>
          <w:rFonts w:asciiTheme="minorEastAsia" w:hAnsiTheme="minorEastAsia" w:hint="eastAsia"/>
          <w:spacing w:val="-2"/>
          <w:szCs w:val="24"/>
        </w:rPr>
        <w:t>していたり、</w:t>
      </w:r>
      <w:r w:rsidR="00DD11F2" w:rsidRPr="00B20010">
        <w:rPr>
          <w:rFonts w:asciiTheme="minorEastAsia" w:hAnsiTheme="minorEastAsia" w:hint="eastAsia"/>
          <w:spacing w:val="-2"/>
          <w:szCs w:val="24"/>
        </w:rPr>
        <w:t>官民比較</w:t>
      </w:r>
      <w:r w:rsidR="00B23877" w:rsidRPr="00B20010">
        <w:rPr>
          <w:rFonts w:asciiTheme="minorEastAsia" w:hAnsiTheme="minorEastAsia" w:hint="eastAsia"/>
          <w:spacing w:val="-2"/>
          <w:szCs w:val="24"/>
        </w:rPr>
        <w:t>の</w:t>
      </w:r>
      <w:r w:rsidR="00B23877" w:rsidRPr="002268CA">
        <w:rPr>
          <w:rFonts w:asciiTheme="minorEastAsia" w:hAnsiTheme="minorEastAsia" w:hint="eastAsia"/>
          <w:szCs w:val="24"/>
        </w:rPr>
        <w:t>観点からは均衡を失するものが見られ、以下のとおり見直し</w:t>
      </w:r>
      <w:r w:rsidR="00525456" w:rsidRPr="002268CA">
        <w:rPr>
          <w:rFonts w:asciiTheme="minorEastAsia" w:hAnsiTheme="minorEastAsia" w:hint="eastAsia"/>
          <w:szCs w:val="24"/>
        </w:rPr>
        <w:t>、再整理、再構築等</w:t>
      </w:r>
      <w:r w:rsidR="00B23877" w:rsidRPr="002268CA">
        <w:rPr>
          <w:rFonts w:asciiTheme="minorEastAsia" w:hAnsiTheme="minorEastAsia" w:hint="eastAsia"/>
          <w:szCs w:val="24"/>
        </w:rPr>
        <w:t>を行うべきである。</w:t>
      </w:r>
    </w:p>
    <w:p w14:paraId="55B8FBF3" w14:textId="77777777" w:rsidR="00B20010" w:rsidRDefault="00B20010" w:rsidP="00B20010">
      <w:pPr>
        <w:spacing w:afterLines="25" w:after="83"/>
        <w:ind w:leftChars="100" w:left="600" w:hangingChars="150" w:hanging="360"/>
        <w:rPr>
          <w:rFonts w:asciiTheme="minorEastAsia" w:hAnsiTheme="minorEastAsia"/>
          <w:szCs w:val="24"/>
        </w:rPr>
      </w:pPr>
      <w:r>
        <w:rPr>
          <w:rFonts w:asciiTheme="minorEastAsia" w:hAnsiTheme="minorEastAsia" w:hint="eastAsia"/>
          <w:szCs w:val="24"/>
        </w:rPr>
        <w:t xml:space="preserve">① </w:t>
      </w:r>
      <w:r w:rsidR="00E427CC" w:rsidRPr="00B20010">
        <w:rPr>
          <w:rFonts w:asciiTheme="minorEastAsia" w:hAnsiTheme="minorEastAsia" w:hint="eastAsia"/>
          <w:spacing w:val="2"/>
          <w:szCs w:val="24"/>
        </w:rPr>
        <w:t>地域手当は、地域における民間賃金を基礎とし、当該地域に在勤する</w:t>
      </w:r>
      <w:r w:rsidR="00A72675" w:rsidRPr="00B20010">
        <w:rPr>
          <w:rFonts w:asciiTheme="minorEastAsia" w:hAnsiTheme="minorEastAsia" w:hint="eastAsia"/>
          <w:spacing w:val="2"/>
          <w:szCs w:val="24"/>
        </w:rPr>
        <w:t>職員に対して</w:t>
      </w:r>
      <w:r w:rsidR="00A72675" w:rsidRPr="00B20010">
        <w:rPr>
          <w:rFonts w:asciiTheme="minorEastAsia" w:hAnsiTheme="minorEastAsia" w:hint="eastAsia"/>
          <w:spacing w:val="-4"/>
          <w:szCs w:val="24"/>
        </w:rPr>
        <w:t>支給されるものである。</w:t>
      </w:r>
      <w:r w:rsidR="00E427CC" w:rsidRPr="00B20010">
        <w:rPr>
          <w:rFonts w:asciiTheme="minorEastAsia" w:hAnsiTheme="minorEastAsia" w:hint="eastAsia"/>
          <w:spacing w:val="-4"/>
          <w:szCs w:val="24"/>
        </w:rPr>
        <w:t>その支給地域</w:t>
      </w:r>
      <w:r w:rsidR="00D24B0D" w:rsidRPr="00B20010">
        <w:rPr>
          <w:rFonts w:asciiTheme="minorEastAsia" w:hAnsiTheme="minorEastAsia" w:hint="eastAsia"/>
          <w:spacing w:val="-4"/>
          <w:szCs w:val="24"/>
        </w:rPr>
        <w:t>・</w:t>
      </w:r>
      <w:r w:rsidR="00384BB5" w:rsidRPr="00B20010">
        <w:rPr>
          <w:rFonts w:asciiTheme="minorEastAsia" w:hAnsiTheme="minorEastAsia" w:hint="eastAsia"/>
          <w:spacing w:val="-4"/>
          <w:szCs w:val="24"/>
        </w:rPr>
        <w:t>水準</w:t>
      </w:r>
      <w:r w:rsidR="00E427CC" w:rsidRPr="00B20010">
        <w:rPr>
          <w:rFonts w:asciiTheme="minorEastAsia" w:hAnsiTheme="minorEastAsia" w:hint="eastAsia"/>
          <w:spacing w:val="-4"/>
          <w:szCs w:val="24"/>
        </w:rPr>
        <w:t>は、</w:t>
      </w:r>
      <w:r w:rsidR="00A72675" w:rsidRPr="00B20010">
        <w:rPr>
          <w:rFonts w:asciiTheme="minorEastAsia" w:hAnsiTheme="minorEastAsia" w:hint="eastAsia"/>
          <w:spacing w:val="-4"/>
          <w:szCs w:val="24"/>
        </w:rPr>
        <w:t>厚労省による</w:t>
      </w:r>
      <w:r w:rsidR="00E427CC" w:rsidRPr="00B20010">
        <w:rPr>
          <w:rFonts w:asciiTheme="minorEastAsia" w:hAnsiTheme="minorEastAsia" w:hint="eastAsia"/>
          <w:spacing w:val="-4"/>
          <w:szCs w:val="24"/>
        </w:rPr>
        <w:t>賃金構造基本統計調査を</w:t>
      </w:r>
      <w:r w:rsidR="00E427CC" w:rsidRPr="002268CA">
        <w:rPr>
          <w:rFonts w:asciiTheme="minorEastAsia" w:hAnsiTheme="minorEastAsia" w:hint="eastAsia"/>
          <w:szCs w:val="24"/>
        </w:rPr>
        <w:t>基に、</w:t>
      </w:r>
      <w:r w:rsidR="00A72675" w:rsidRPr="002268CA">
        <w:rPr>
          <w:rFonts w:asciiTheme="minorEastAsia" w:hAnsiTheme="minorEastAsia" w:hint="eastAsia"/>
          <w:szCs w:val="24"/>
        </w:rPr>
        <w:t>人事院において</w:t>
      </w:r>
      <w:r w:rsidR="00E427CC" w:rsidRPr="002268CA">
        <w:rPr>
          <w:rFonts w:asciiTheme="minorEastAsia" w:hAnsiTheme="minorEastAsia" w:hint="eastAsia"/>
          <w:szCs w:val="24"/>
        </w:rPr>
        <w:t>市町村単位で指定されている。しかし、同</w:t>
      </w:r>
      <w:r w:rsidR="00A72675" w:rsidRPr="002268CA">
        <w:rPr>
          <w:rFonts w:asciiTheme="minorEastAsia" w:hAnsiTheme="minorEastAsia" w:hint="eastAsia"/>
          <w:szCs w:val="24"/>
        </w:rPr>
        <w:t>統計</w:t>
      </w:r>
      <w:r w:rsidR="00E427CC" w:rsidRPr="002268CA">
        <w:rPr>
          <w:rFonts w:asciiTheme="minorEastAsia" w:hAnsiTheme="minorEastAsia" w:hint="eastAsia"/>
          <w:szCs w:val="24"/>
        </w:rPr>
        <w:t>調査は、市町村</w:t>
      </w:r>
      <w:r w:rsidR="00E427CC" w:rsidRPr="00B20010">
        <w:rPr>
          <w:rFonts w:asciiTheme="minorEastAsia" w:hAnsiTheme="minorEastAsia" w:hint="eastAsia"/>
          <w:spacing w:val="-8"/>
          <w:szCs w:val="24"/>
        </w:rPr>
        <w:t>という狭域な範囲での賃金水準を把握するために行われるものではな</w:t>
      </w:r>
      <w:r w:rsidR="008163FB" w:rsidRPr="00B20010">
        <w:rPr>
          <w:rFonts w:asciiTheme="minorEastAsia" w:hAnsiTheme="minorEastAsia" w:hint="eastAsia"/>
          <w:spacing w:val="-8"/>
          <w:szCs w:val="24"/>
        </w:rPr>
        <w:t>く、</w:t>
      </w:r>
      <w:r w:rsidR="00D24B0D" w:rsidRPr="00B20010">
        <w:rPr>
          <w:rFonts w:asciiTheme="minorEastAsia" w:hAnsiTheme="minorEastAsia" w:hint="eastAsia"/>
          <w:spacing w:val="-8"/>
          <w:szCs w:val="24"/>
        </w:rPr>
        <w:t>事実、</w:t>
      </w:r>
      <w:r w:rsidR="008163FB" w:rsidRPr="00B20010">
        <w:rPr>
          <w:rFonts w:asciiTheme="minorEastAsia" w:hAnsiTheme="minorEastAsia" w:hint="eastAsia"/>
          <w:spacing w:val="-8"/>
          <w:szCs w:val="24"/>
        </w:rPr>
        <w:t>市町村に</w:t>
      </w:r>
      <w:r w:rsidR="008163FB" w:rsidRPr="00B20010">
        <w:rPr>
          <w:rFonts w:asciiTheme="minorEastAsia" w:hAnsiTheme="minorEastAsia" w:hint="eastAsia"/>
          <w:spacing w:val="-4"/>
          <w:szCs w:val="24"/>
        </w:rPr>
        <w:t>よってはサンプル数が一桁と統計上有意とは言えない事例も見られ、これを地域手当の</w:t>
      </w:r>
      <w:r w:rsidR="008163FB" w:rsidRPr="00B20010">
        <w:rPr>
          <w:rFonts w:asciiTheme="minorEastAsia" w:hAnsiTheme="minorEastAsia" w:hint="eastAsia"/>
          <w:spacing w:val="2"/>
          <w:szCs w:val="24"/>
        </w:rPr>
        <w:t>等級</w:t>
      </w:r>
      <w:r w:rsidR="00E427CC" w:rsidRPr="00B20010">
        <w:rPr>
          <w:rFonts w:asciiTheme="minorEastAsia" w:hAnsiTheme="minorEastAsia" w:hint="eastAsia"/>
          <w:spacing w:val="2"/>
          <w:szCs w:val="24"/>
        </w:rPr>
        <w:t>決定根拠とするには公平性</w:t>
      </w:r>
      <w:r w:rsidR="00996213" w:rsidRPr="00B20010">
        <w:rPr>
          <w:rFonts w:asciiTheme="minorEastAsia" w:hAnsiTheme="minorEastAsia" w:hint="eastAsia"/>
          <w:spacing w:val="2"/>
          <w:szCs w:val="24"/>
        </w:rPr>
        <w:t>・信頼性</w:t>
      </w:r>
      <w:r w:rsidR="00E427CC" w:rsidRPr="00B20010">
        <w:rPr>
          <w:rFonts w:asciiTheme="minorEastAsia" w:hAnsiTheme="minorEastAsia" w:hint="eastAsia"/>
          <w:spacing w:val="2"/>
          <w:szCs w:val="24"/>
        </w:rPr>
        <w:t>の観点から問題</w:t>
      </w:r>
      <w:r w:rsidR="008163FB" w:rsidRPr="00B20010">
        <w:rPr>
          <w:rFonts w:asciiTheme="minorEastAsia" w:hAnsiTheme="minorEastAsia" w:hint="eastAsia"/>
          <w:spacing w:val="2"/>
          <w:szCs w:val="24"/>
        </w:rPr>
        <w:t>がある。そもそも、民間に</w:t>
      </w:r>
      <w:r w:rsidR="008163FB" w:rsidRPr="002268CA">
        <w:rPr>
          <w:rFonts w:asciiTheme="minorEastAsia" w:hAnsiTheme="minorEastAsia" w:hint="eastAsia"/>
          <w:szCs w:val="24"/>
        </w:rPr>
        <w:t>おいて市町村単位で給与水準を決定する例は見られ</w:t>
      </w:r>
      <w:r w:rsidR="00996213" w:rsidRPr="002268CA">
        <w:rPr>
          <w:rFonts w:asciiTheme="minorEastAsia" w:hAnsiTheme="minorEastAsia" w:hint="eastAsia"/>
          <w:szCs w:val="24"/>
        </w:rPr>
        <w:t>ず</w:t>
      </w:r>
      <w:r w:rsidR="008163FB" w:rsidRPr="002268CA">
        <w:rPr>
          <w:rFonts w:asciiTheme="minorEastAsia" w:hAnsiTheme="minorEastAsia" w:hint="eastAsia"/>
          <w:szCs w:val="24"/>
        </w:rPr>
        <w:t>、同手当の指定は、</w:t>
      </w:r>
      <w:r w:rsidR="00E427CC" w:rsidRPr="002268CA">
        <w:rPr>
          <w:rFonts w:asciiTheme="minorEastAsia" w:hAnsiTheme="minorEastAsia" w:hint="eastAsia"/>
          <w:szCs w:val="24"/>
        </w:rPr>
        <w:t>より広域な</w:t>
      </w:r>
      <w:r w:rsidR="00F0383E" w:rsidRPr="002268CA">
        <w:rPr>
          <w:rFonts w:asciiTheme="minorEastAsia" w:hAnsiTheme="minorEastAsia" w:hint="eastAsia"/>
          <w:szCs w:val="24"/>
        </w:rPr>
        <w:t>枠組み、例えば</w:t>
      </w:r>
      <w:r w:rsidR="00E427CC" w:rsidRPr="002268CA">
        <w:rPr>
          <w:rFonts w:asciiTheme="minorEastAsia" w:hAnsiTheme="minorEastAsia" w:hint="eastAsia"/>
          <w:szCs w:val="24"/>
        </w:rPr>
        <w:t>都道府県単位で</w:t>
      </w:r>
      <w:r w:rsidR="008163FB" w:rsidRPr="002268CA">
        <w:rPr>
          <w:rFonts w:asciiTheme="minorEastAsia" w:hAnsiTheme="minorEastAsia" w:hint="eastAsia"/>
          <w:szCs w:val="24"/>
        </w:rPr>
        <w:t>行う</w:t>
      </w:r>
      <w:r w:rsidR="00C65D35" w:rsidRPr="002268CA">
        <w:rPr>
          <w:rFonts w:asciiTheme="minorEastAsia" w:hAnsiTheme="minorEastAsia" w:hint="eastAsia"/>
          <w:szCs w:val="24"/>
        </w:rPr>
        <w:t>こと</w:t>
      </w:r>
      <w:r w:rsidR="008163FB" w:rsidRPr="002268CA">
        <w:rPr>
          <w:rFonts w:asciiTheme="minorEastAsia" w:hAnsiTheme="minorEastAsia" w:hint="eastAsia"/>
          <w:szCs w:val="24"/>
        </w:rPr>
        <w:t>。</w:t>
      </w:r>
    </w:p>
    <w:p w14:paraId="43A666D7" w14:textId="237BEBA8" w:rsidR="00B20010" w:rsidRDefault="00B20010" w:rsidP="00B20010">
      <w:pPr>
        <w:spacing w:afterLines="25" w:after="83"/>
        <w:ind w:leftChars="100" w:left="600" w:hangingChars="150" w:hanging="360"/>
        <w:rPr>
          <w:rFonts w:asciiTheme="minorEastAsia" w:hAnsiTheme="minorEastAsia"/>
          <w:szCs w:val="24"/>
        </w:rPr>
      </w:pPr>
      <w:r>
        <w:rPr>
          <w:rFonts w:asciiTheme="minorEastAsia" w:hAnsiTheme="minorEastAsia" w:hint="eastAsia"/>
          <w:szCs w:val="24"/>
        </w:rPr>
        <w:t xml:space="preserve">② </w:t>
      </w:r>
      <w:r w:rsidR="00E427CC" w:rsidRPr="002268CA">
        <w:rPr>
          <w:rFonts w:asciiTheme="minorEastAsia" w:hAnsiTheme="minorEastAsia" w:hint="eastAsia"/>
          <w:szCs w:val="24"/>
        </w:rPr>
        <w:t>地域手当につい</w:t>
      </w:r>
      <w:r>
        <w:rPr>
          <w:rFonts w:asciiTheme="minorEastAsia" w:hAnsiTheme="minorEastAsia" w:hint="eastAsia"/>
          <w:szCs w:val="24"/>
        </w:rPr>
        <w:t>ては、支給割合の低い地域等に異動した場合の激変緩和措置として、</w:t>
      </w:r>
      <w:r w:rsidRPr="00B20010">
        <w:rPr>
          <w:rFonts w:asciiTheme="minorEastAsia" w:hAnsiTheme="minorEastAsia" w:hint="eastAsia"/>
          <w:spacing w:val="-2"/>
          <w:szCs w:val="24"/>
        </w:rPr>
        <w:t>1年目は異動前の支給割合、2</w:t>
      </w:r>
      <w:r w:rsidR="00E427CC" w:rsidRPr="00B20010">
        <w:rPr>
          <w:rFonts w:asciiTheme="minorEastAsia" w:hAnsiTheme="minorEastAsia" w:hint="eastAsia"/>
          <w:spacing w:val="-2"/>
          <w:szCs w:val="24"/>
        </w:rPr>
        <w:t>年目は１年目の80／100が支給されている。このような措置は、</w:t>
      </w:r>
      <w:r w:rsidR="00F0383E" w:rsidRPr="00B20010">
        <w:rPr>
          <w:rFonts w:asciiTheme="minorEastAsia" w:hAnsiTheme="minorEastAsia" w:hint="eastAsia"/>
          <w:spacing w:val="-2"/>
          <w:szCs w:val="24"/>
        </w:rPr>
        <w:t>地域手当の導入</w:t>
      </w:r>
      <w:r w:rsidR="00E427CC" w:rsidRPr="00B20010">
        <w:rPr>
          <w:rFonts w:asciiTheme="minorEastAsia" w:hAnsiTheme="minorEastAsia" w:hint="eastAsia"/>
          <w:spacing w:val="-2"/>
          <w:szCs w:val="24"/>
        </w:rPr>
        <w:t>趣旨に</w:t>
      </w:r>
      <w:r w:rsidR="00F0383E" w:rsidRPr="00B20010">
        <w:rPr>
          <w:rFonts w:asciiTheme="minorEastAsia" w:hAnsiTheme="minorEastAsia" w:hint="eastAsia"/>
          <w:spacing w:val="-2"/>
          <w:szCs w:val="24"/>
        </w:rPr>
        <w:t>反する</w:t>
      </w:r>
      <w:r w:rsidR="00E427CC" w:rsidRPr="00B20010">
        <w:rPr>
          <w:rFonts w:asciiTheme="minorEastAsia" w:hAnsiTheme="minorEastAsia" w:hint="eastAsia"/>
          <w:spacing w:val="-2"/>
          <w:szCs w:val="24"/>
        </w:rPr>
        <w:t>ものであ</w:t>
      </w:r>
      <w:r w:rsidR="008163FB" w:rsidRPr="00B20010">
        <w:rPr>
          <w:rFonts w:asciiTheme="minorEastAsia" w:hAnsiTheme="minorEastAsia" w:hint="eastAsia"/>
          <w:spacing w:val="-2"/>
          <w:szCs w:val="24"/>
        </w:rPr>
        <w:t>る</w:t>
      </w:r>
      <w:r w:rsidR="009C0CEC" w:rsidRPr="00B20010">
        <w:rPr>
          <w:rFonts w:asciiTheme="minorEastAsia" w:hAnsiTheme="minorEastAsia" w:hint="eastAsia"/>
          <w:spacing w:val="-2"/>
          <w:szCs w:val="24"/>
        </w:rPr>
        <w:t>。また、</w:t>
      </w:r>
      <w:r w:rsidRPr="00B20010">
        <w:rPr>
          <w:rFonts w:asciiTheme="minorEastAsia" w:hAnsiTheme="minorEastAsia" w:hint="eastAsia"/>
          <w:spacing w:val="-2"/>
          <w:szCs w:val="24"/>
        </w:rPr>
        <w:t>国家公務員の移動が2～3</w:t>
      </w:r>
      <w:r w:rsidR="008163FB" w:rsidRPr="00B20010">
        <w:rPr>
          <w:rFonts w:asciiTheme="minorEastAsia" w:hAnsiTheme="minorEastAsia" w:hint="eastAsia"/>
          <w:spacing w:val="-2"/>
          <w:szCs w:val="24"/>
        </w:rPr>
        <w:t>年</w:t>
      </w:r>
      <w:r w:rsidR="008163FB" w:rsidRPr="002268CA">
        <w:rPr>
          <w:rFonts w:asciiTheme="minorEastAsia" w:hAnsiTheme="minorEastAsia" w:hint="eastAsia"/>
          <w:szCs w:val="24"/>
        </w:rPr>
        <w:t>単位で行われていることを踏まえると、地域手当の有無にかかわらず給与を高止まりさせる結果となっており、</w:t>
      </w:r>
      <w:r w:rsidR="000B409D">
        <w:rPr>
          <w:rFonts w:asciiTheme="minorEastAsia" w:hAnsiTheme="minorEastAsia" w:hint="eastAsia"/>
          <w:szCs w:val="24"/>
        </w:rPr>
        <w:t>激変</w:t>
      </w:r>
      <w:bookmarkStart w:id="0" w:name="_GoBack"/>
      <w:bookmarkEnd w:id="0"/>
      <w:r w:rsidR="00F0383E" w:rsidRPr="002268CA">
        <w:rPr>
          <w:rFonts w:asciiTheme="minorEastAsia" w:hAnsiTheme="minorEastAsia" w:hint="eastAsia"/>
          <w:szCs w:val="24"/>
        </w:rPr>
        <w:t>緩和措置は</w:t>
      </w:r>
      <w:r w:rsidR="00525456" w:rsidRPr="002268CA">
        <w:rPr>
          <w:rFonts w:asciiTheme="minorEastAsia" w:hAnsiTheme="minorEastAsia" w:hint="eastAsia"/>
          <w:szCs w:val="24"/>
        </w:rPr>
        <w:t>廃止を含め</w:t>
      </w:r>
      <w:r w:rsidR="008163FB" w:rsidRPr="002268CA">
        <w:rPr>
          <w:rFonts w:asciiTheme="minorEastAsia" w:hAnsiTheme="minorEastAsia" w:hint="eastAsia"/>
          <w:szCs w:val="24"/>
        </w:rPr>
        <w:t>見直す</w:t>
      </w:r>
      <w:r w:rsidR="00C65D35" w:rsidRPr="002268CA">
        <w:rPr>
          <w:rFonts w:asciiTheme="minorEastAsia" w:hAnsiTheme="minorEastAsia" w:hint="eastAsia"/>
          <w:szCs w:val="24"/>
        </w:rPr>
        <w:t>こと。</w:t>
      </w:r>
    </w:p>
    <w:p w14:paraId="369167C4" w14:textId="5E1CCEF0" w:rsidR="00B20010" w:rsidRDefault="00B20010" w:rsidP="00970984">
      <w:pPr>
        <w:spacing w:afterLines="25" w:after="83" w:line="320" w:lineRule="exact"/>
        <w:ind w:leftChars="100" w:left="600" w:hangingChars="150" w:hanging="360"/>
        <w:rPr>
          <w:rFonts w:asciiTheme="minorEastAsia" w:hAnsiTheme="minorEastAsia"/>
          <w:szCs w:val="24"/>
        </w:rPr>
      </w:pPr>
      <w:r>
        <w:rPr>
          <w:rFonts w:asciiTheme="minorEastAsia" w:hAnsiTheme="minorEastAsia" w:hint="eastAsia"/>
          <w:szCs w:val="24"/>
        </w:rPr>
        <w:lastRenderedPageBreak/>
        <w:t xml:space="preserve">③ </w:t>
      </w:r>
      <w:r w:rsidR="00DD11F2" w:rsidRPr="00B20010">
        <w:rPr>
          <w:rFonts w:asciiTheme="minorEastAsia" w:hAnsiTheme="minorEastAsia" w:hint="eastAsia"/>
          <w:spacing w:val="2"/>
          <w:szCs w:val="24"/>
        </w:rPr>
        <w:t>広域異動手当は、引越しに伴い発生する旅費等とは別に、</w:t>
      </w:r>
      <w:r w:rsidRPr="00B20010">
        <w:rPr>
          <w:rFonts w:asciiTheme="minorEastAsia" w:hAnsiTheme="minorEastAsia" w:hint="eastAsia"/>
          <w:spacing w:val="2"/>
          <w:szCs w:val="24"/>
        </w:rPr>
        <w:t>異動が広域であることを</w:t>
      </w:r>
      <w:r>
        <w:rPr>
          <w:rFonts w:asciiTheme="minorEastAsia" w:hAnsiTheme="minorEastAsia" w:hint="eastAsia"/>
          <w:szCs w:val="24"/>
        </w:rPr>
        <w:t>理由に、異動前後の官署間の距離に応じて、3</w:t>
      </w:r>
      <w:r w:rsidR="00DD11F2" w:rsidRPr="002268CA">
        <w:rPr>
          <w:rFonts w:asciiTheme="minorEastAsia" w:hAnsiTheme="minorEastAsia" w:hint="eastAsia"/>
          <w:szCs w:val="24"/>
        </w:rPr>
        <w:t>年間支給されるものである。本手当に</w:t>
      </w:r>
      <w:r w:rsidR="00DD11F2" w:rsidRPr="00B20010">
        <w:rPr>
          <w:rFonts w:asciiTheme="minorEastAsia" w:hAnsiTheme="minorEastAsia" w:hint="eastAsia"/>
          <w:spacing w:val="2"/>
          <w:szCs w:val="24"/>
        </w:rPr>
        <w:t>ついても、地域手当の激変緩和措置と同様に、地域における官民給与格差の是正に</w:t>
      </w:r>
      <w:r w:rsidR="00DD11F2" w:rsidRPr="00B20010">
        <w:rPr>
          <w:rFonts w:asciiTheme="minorEastAsia" w:hAnsiTheme="minorEastAsia" w:hint="eastAsia"/>
          <w:spacing w:val="-4"/>
          <w:szCs w:val="24"/>
        </w:rPr>
        <w:t>反するものであり、人事政策上の必要性との均衡を図りながら、見直</w:t>
      </w:r>
      <w:r w:rsidR="00952B63" w:rsidRPr="00B20010">
        <w:rPr>
          <w:rFonts w:asciiTheme="minorEastAsia" w:hAnsiTheme="minorEastAsia" w:hint="eastAsia"/>
          <w:spacing w:val="-4"/>
          <w:szCs w:val="24"/>
        </w:rPr>
        <w:t>しを検討すること</w:t>
      </w:r>
      <w:r w:rsidR="00DD11F2" w:rsidRPr="00B20010">
        <w:rPr>
          <w:rFonts w:asciiTheme="minorEastAsia" w:hAnsiTheme="minorEastAsia" w:hint="eastAsia"/>
          <w:spacing w:val="-4"/>
          <w:szCs w:val="24"/>
        </w:rPr>
        <w:t>。</w:t>
      </w:r>
    </w:p>
    <w:p w14:paraId="36196F4C" w14:textId="24A64630" w:rsidR="00D24B0D" w:rsidRPr="002268CA" w:rsidRDefault="00DD11F2" w:rsidP="00970984">
      <w:pPr>
        <w:spacing w:afterLines="25" w:after="83" w:line="320" w:lineRule="exact"/>
        <w:ind w:leftChars="100" w:left="600" w:hangingChars="150" w:hanging="360"/>
        <w:rPr>
          <w:rFonts w:asciiTheme="minorEastAsia" w:hAnsiTheme="minorEastAsia"/>
          <w:szCs w:val="24"/>
        </w:rPr>
      </w:pPr>
      <w:r w:rsidRPr="002268CA">
        <w:rPr>
          <w:rFonts w:asciiTheme="minorEastAsia" w:hAnsiTheme="minorEastAsia" w:hint="eastAsia"/>
          <w:szCs w:val="24"/>
        </w:rPr>
        <w:t>④</w:t>
      </w:r>
      <w:r w:rsidR="00B20010">
        <w:rPr>
          <w:rFonts w:asciiTheme="minorEastAsia" w:hAnsiTheme="minorEastAsia" w:hint="eastAsia"/>
          <w:szCs w:val="24"/>
        </w:rPr>
        <w:t xml:space="preserve"> </w:t>
      </w:r>
      <w:r w:rsidR="00E427CC" w:rsidRPr="002268CA">
        <w:rPr>
          <w:rFonts w:asciiTheme="minorEastAsia" w:hAnsiTheme="minorEastAsia" w:hint="eastAsia"/>
          <w:szCs w:val="24"/>
        </w:rPr>
        <w:t>本府省業務調整手当は、企画・立案・調整など本府省業務の特殊性・困難性を踏まえ、</w:t>
      </w:r>
      <w:r w:rsidR="00E427CC" w:rsidRPr="00B20010">
        <w:rPr>
          <w:rFonts w:asciiTheme="minorEastAsia" w:hAnsiTheme="minorEastAsia" w:hint="eastAsia"/>
          <w:spacing w:val="2"/>
          <w:szCs w:val="24"/>
        </w:rPr>
        <w:t>課長補佐級以下の職員に支給される。</w:t>
      </w:r>
      <w:r w:rsidR="009C0CEC" w:rsidRPr="00B20010">
        <w:rPr>
          <w:rFonts w:asciiTheme="minorEastAsia" w:hAnsiTheme="minorEastAsia" w:hint="eastAsia"/>
          <w:spacing w:val="2"/>
          <w:szCs w:val="24"/>
        </w:rPr>
        <w:t>しかし、</w:t>
      </w:r>
      <w:r w:rsidR="00E427CC" w:rsidRPr="00B20010">
        <w:rPr>
          <w:rFonts w:asciiTheme="minorEastAsia" w:hAnsiTheme="minorEastAsia" w:hint="eastAsia"/>
          <w:spacing w:val="2"/>
          <w:szCs w:val="24"/>
        </w:rPr>
        <w:t>国家公務員の給与水準は、そもそも企画・立案・調整といった公務の特殊性・困難性を理由に民間のホワイトカラーの</w:t>
      </w:r>
      <w:r w:rsidR="00E427CC" w:rsidRPr="002268CA">
        <w:rPr>
          <w:rFonts w:asciiTheme="minorEastAsia" w:hAnsiTheme="minorEastAsia" w:hint="eastAsia"/>
          <w:szCs w:val="24"/>
        </w:rPr>
        <w:t>給与に準拠するよう設定されており、</w:t>
      </w:r>
      <w:r w:rsidR="009C0CEC" w:rsidRPr="002268CA">
        <w:rPr>
          <w:rFonts w:asciiTheme="minorEastAsia" w:hAnsiTheme="minorEastAsia" w:hint="eastAsia"/>
          <w:szCs w:val="24"/>
        </w:rPr>
        <w:t>屋上屋を重ねる形</w:t>
      </w:r>
      <w:r w:rsidR="00F0383E" w:rsidRPr="002268CA">
        <w:rPr>
          <w:rFonts w:asciiTheme="minorEastAsia" w:hAnsiTheme="minorEastAsia" w:hint="eastAsia"/>
          <w:szCs w:val="24"/>
        </w:rPr>
        <w:t>とな</w:t>
      </w:r>
      <w:r w:rsidRPr="002268CA">
        <w:rPr>
          <w:rFonts w:asciiTheme="minorEastAsia" w:hAnsiTheme="minorEastAsia" w:hint="eastAsia"/>
          <w:szCs w:val="24"/>
        </w:rPr>
        <w:t>っていることは否めない。</w:t>
      </w:r>
      <w:r w:rsidRPr="00B20010">
        <w:rPr>
          <w:rFonts w:asciiTheme="minorEastAsia" w:hAnsiTheme="minorEastAsia" w:hint="eastAsia"/>
          <w:spacing w:val="-4"/>
          <w:szCs w:val="24"/>
        </w:rPr>
        <w:t>他方で、優秀な人材確保の観点から、民間においても本社勤務手当等が存在することも</w:t>
      </w:r>
      <w:r w:rsidRPr="002268CA">
        <w:rPr>
          <w:rFonts w:asciiTheme="minorEastAsia" w:hAnsiTheme="minorEastAsia" w:hint="eastAsia"/>
          <w:szCs w:val="24"/>
        </w:rPr>
        <w:t>踏まえ、</w:t>
      </w:r>
      <w:r w:rsidR="00952B63" w:rsidRPr="002268CA">
        <w:rPr>
          <w:rFonts w:asciiTheme="minorEastAsia" w:hAnsiTheme="minorEastAsia" w:hint="eastAsia"/>
          <w:szCs w:val="24"/>
        </w:rPr>
        <w:t>人事政策上の観点を考慮しつつ見直しを検討すること</w:t>
      </w:r>
      <w:r w:rsidR="008163FB" w:rsidRPr="002268CA">
        <w:rPr>
          <w:rFonts w:asciiTheme="minorEastAsia" w:hAnsiTheme="minorEastAsia" w:hint="eastAsia"/>
          <w:szCs w:val="24"/>
        </w:rPr>
        <w:t>。</w:t>
      </w:r>
    </w:p>
    <w:p w14:paraId="08CF7ADF" w14:textId="291A9A0F" w:rsidR="00E427CC" w:rsidRPr="002268CA" w:rsidRDefault="00952B63" w:rsidP="00970984">
      <w:pPr>
        <w:spacing w:line="320" w:lineRule="exact"/>
        <w:ind w:leftChars="100" w:left="600" w:hangingChars="150" w:hanging="360"/>
        <w:rPr>
          <w:rFonts w:asciiTheme="minorEastAsia" w:hAnsiTheme="minorEastAsia"/>
          <w:szCs w:val="24"/>
        </w:rPr>
      </w:pPr>
      <w:r w:rsidRPr="002268CA">
        <w:rPr>
          <w:rFonts w:asciiTheme="minorEastAsia" w:hAnsiTheme="minorEastAsia" w:hint="eastAsia"/>
          <w:szCs w:val="24"/>
        </w:rPr>
        <w:t>⑤</w:t>
      </w:r>
      <w:r w:rsidR="00B20010">
        <w:rPr>
          <w:rFonts w:asciiTheme="minorEastAsia" w:hAnsiTheme="minorEastAsia" w:hint="eastAsia"/>
          <w:szCs w:val="24"/>
        </w:rPr>
        <w:t xml:space="preserve"> </w:t>
      </w:r>
      <w:r w:rsidR="00E427CC" w:rsidRPr="002268CA">
        <w:rPr>
          <w:rFonts w:asciiTheme="minorEastAsia" w:hAnsiTheme="minorEastAsia" w:hint="eastAsia"/>
          <w:szCs w:val="24"/>
        </w:rPr>
        <w:t>一方で、本府省に勤務する国家公務員</w:t>
      </w:r>
      <w:r w:rsidR="008163FB" w:rsidRPr="002268CA">
        <w:rPr>
          <w:rFonts w:asciiTheme="minorEastAsia" w:hAnsiTheme="minorEastAsia" w:hint="eastAsia"/>
          <w:szCs w:val="24"/>
        </w:rPr>
        <w:t>については、</w:t>
      </w:r>
      <w:r w:rsidR="00E427CC" w:rsidRPr="002268CA">
        <w:rPr>
          <w:rFonts w:asciiTheme="minorEastAsia" w:hAnsiTheme="minorEastAsia" w:hint="eastAsia"/>
          <w:szCs w:val="24"/>
        </w:rPr>
        <w:t>過剰な労働負担</w:t>
      </w:r>
      <w:r w:rsidR="008163FB" w:rsidRPr="002268CA">
        <w:rPr>
          <w:rFonts w:asciiTheme="minorEastAsia" w:hAnsiTheme="minorEastAsia" w:hint="eastAsia"/>
          <w:szCs w:val="24"/>
        </w:rPr>
        <w:t>が指摘されている。</w:t>
      </w:r>
      <w:r w:rsidR="008163FB" w:rsidRPr="00B20010">
        <w:rPr>
          <w:rFonts w:asciiTheme="minorEastAsia" w:hAnsiTheme="minorEastAsia" w:hint="eastAsia"/>
          <w:spacing w:val="-4"/>
          <w:szCs w:val="24"/>
        </w:rPr>
        <w:t>特に、</w:t>
      </w:r>
      <w:r w:rsidR="00E427CC" w:rsidRPr="00B20010">
        <w:rPr>
          <w:rFonts w:asciiTheme="minorEastAsia" w:hAnsiTheme="minorEastAsia" w:hint="eastAsia"/>
          <w:spacing w:val="-4"/>
          <w:szCs w:val="24"/>
        </w:rPr>
        <w:t>国会</w:t>
      </w:r>
      <w:r w:rsidR="008163FB" w:rsidRPr="00B20010">
        <w:rPr>
          <w:rFonts w:asciiTheme="minorEastAsia" w:hAnsiTheme="minorEastAsia" w:hint="eastAsia"/>
          <w:spacing w:val="-4"/>
          <w:szCs w:val="24"/>
        </w:rPr>
        <w:t>関連</w:t>
      </w:r>
      <w:r w:rsidR="00E427CC" w:rsidRPr="00B20010">
        <w:rPr>
          <w:rFonts w:asciiTheme="minorEastAsia" w:hAnsiTheme="minorEastAsia" w:hint="eastAsia"/>
          <w:spacing w:val="-4"/>
          <w:szCs w:val="24"/>
        </w:rPr>
        <w:t>業務</w:t>
      </w:r>
      <w:r w:rsidR="00D24B0D" w:rsidRPr="00B20010">
        <w:rPr>
          <w:rFonts w:asciiTheme="minorEastAsia" w:hAnsiTheme="minorEastAsia" w:hint="eastAsia"/>
          <w:spacing w:val="-4"/>
          <w:szCs w:val="24"/>
        </w:rPr>
        <w:t>は</w:t>
      </w:r>
      <w:r w:rsidR="007F12B5" w:rsidRPr="00B20010">
        <w:rPr>
          <w:rFonts w:asciiTheme="minorEastAsia" w:hAnsiTheme="minorEastAsia" w:hint="eastAsia"/>
          <w:spacing w:val="-4"/>
          <w:szCs w:val="24"/>
        </w:rPr>
        <w:t>負担が大きく</w:t>
      </w:r>
      <w:r w:rsidR="008163FB" w:rsidRPr="00B20010">
        <w:rPr>
          <w:rFonts w:asciiTheme="minorEastAsia" w:hAnsiTheme="minorEastAsia" w:hint="eastAsia"/>
          <w:spacing w:val="-4"/>
          <w:szCs w:val="24"/>
        </w:rPr>
        <w:t>、</w:t>
      </w:r>
      <w:r w:rsidR="00E427CC" w:rsidRPr="00B20010">
        <w:rPr>
          <w:rFonts w:asciiTheme="minorEastAsia" w:hAnsiTheme="minorEastAsia" w:hint="eastAsia"/>
          <w:spacing w:val="-4"/>
          <w:szCs w:val="24"/>
        </w:rPr>
        <w:t>これまで</w:t>
      </w:r>
      <w:r w:rsidR="00D24B0D" w:rsidRPr="00B20010">
        <w:rPr>
          <w:rFonts w:asciiTheme="minorEastAsia" w:hAnsiTheme="minorEastAsia" w:hint="eastAsia"/>
          <w:spacing w:val="-4"/>
          <w:szCs w:val="24"/>
        </w:rPr>
        <w:t>も各党各会派間で</w:t>
      </w:r>
      <w:r w:rsidR="00E427CC" w:rsidRPr="00B20010">
        <w:rPr>
          <w:rFonts w:asciiTheme="minorEastAsia" w:hAnsiTheme="minorEastAsia" w:hint="eastAsia"/>
          <w:spacing w:val="-4"/>
          <w:szCs w:val="24"/>
        </w:rPr>
        <w:t>、質問通告の締切りを前々日までとする</w:t>
      </w:r>
      <w:r w:rsidR="00D24B0D" w:rsidRPr="00B20010">
        <w:rPr>
          <w:rFonts w:asciiTheme="minorEastAsia" w:hAnsiTheme="minorEastAsia" w:hint="eastAsia"/>
          <w:spacing w:val="-4"/>
          <w:szCs w:val="24"/>
        </w:rPr>
        <w:t>等の</w:t>
      </w:r>
      <w:r w:rsidR="00E427CC" w:rsidRPr="00B20010">
        <w:rPr>
          <w:rFonts w:asciiTheme="minorEastAsia" w:hAnsiTheme="minorEastAsia" w:hint="eastAsia"/>
          <w:spacing w:val="-4"/>
          <w:szCs w:val="24"/>
        </w:rPr>
        <w:t>申し合わせがなされてきたが、</w:t>
      </w:r>
      <w:r w:rsidR="00996213" w:rsidRPr="00B20010">
        <w:rPr>
          <w:rFonts w:asciiTheme="minorEastAsia" w:hAnsiTheme="minorEastAsia" w:hint="eastAsia"/>
          <w:spacing w:val="-4"/>
          <w:szCs w:val="24"/>
        </w:rPr>
        <w:t>現実</w:t>
      </w:r>
      <w:r w:rsidR="00E427CC" w:rsidRPr="00B20010">
        <w:rPr>
          <w:rFonts w:asciiTheme="minorEastAsia" w:hAnsiTheme="minorEastAsia" w:hint="eastAsia"/>
          <w:spacing w:val="-4"/>
          <w:szCs w:val="24"/>
        </w:rPr>
        <w:t>にこれらのルールが守られる</w:t>
      </w:r>
      <w:r w:rsidR="00E427CC" w:rsidRPr="002268CA">
        <w:rPr>
          <w:rFonts w:asciiTheme="minorEastAsia" w:hAnsiTheme="minorEastAsia" w:hint="eastAsia"/>
          <w:szCs w:val="24"/>
        </w:rPr>
        <w:t>ことは稀有であり、</w:t>
      </w:r>
      <w:r w:rsidR="007F12B5" w:rsidRPr="002268CA">
        <w:rPr>
          <w:rFonts w:asciiTheme="minorEastAsia" w:hAnsiTheme="minorEastAsia" w:hint="eastAsia"/>
          <w:szCs w:val="24"/>
        </w:rPr>
        <w:t>質問通告のほとんどは前日、しかも勤務時間外となることが</w:t>
      </w:r>
      <w:r w:rsidR="00E427CC" w:rsidRPr="002268CA">
        <w:rPr>
          <w:rFonts w:asciiTheme="minorEastAsia" w:hAnsiTheme="minorEastAsia" w:hint="eastAsia"/>
          <w:szCs w:val="24"/>
        </w:rPr>
        <w:t>多い。</w:t>
      </w:r>
      <w:r w:rsidR="00D24B0D" w:rsidRPr="00B20010">
        <w:rPr>
          <w:rFonts w:asciiTheme="minorEastAsia" w:hAnsiTheme="minorEastAsia" w:hint="eastAsia"/>
          <w:spacing w:val="2"/>
          <w:szCs w:val="24"/>
        </w:rPr>
        <w:t>改めて、国会関連業務の負担軽減について、従来の</w:t>
      </w:r>
      <w:r w:rsidR="00E427CC" w:rsidRPr="00B20010">
        <w:rPr>
          <w:rFonts w:asciiTheme="minorEastAsia" w:hAnsiTheme="minorEastAsia" w:hint="eastAsia"/>
          <w:spacing w:val="2"/>
          <w:szCs w:val="24"/>
        </w:rPr>
        <w:t>申し合わせの</w:t>
      </w:r>
      <w:r w:rsidR="00D24B0D" w:rsidRPr="00B20010">
        <w:rPr>
          <w:rFonts w:asciiTheme="minorEastAsia" w:hAnsiTheme="minorEastAsia" w:hint="eastAsia"/>
          <w:spacing w:val="2"/>
          <w:szCs w:val="24"/>
        </w:rPr>
        <w:t>厳守を含め、各党</w:t>
      </w:r>
      <w:r w:rsidR="00D24B0D" w:rsidRPr="002268CA">
        <w:rPr>
          <w:rFonts w:asciiTheme="minorEastAsia" w:hAnsiTheme="minorEastAsia" w:hint="eastAsia"/>
          <w:szCs w:val="24"/>
        </w:rPr>
        <w:t>会派間で意思統一を図る</w:t>
      </w:r>
      <w:r w:rsidR="00C65D35" w:rsidRPr="002268CA">
        <w:rPr>
          <w:rFonts w:asciiTheme="minorEastAsia" w:hAnsiTheme="minorEastAsia" w:hint="eastAsia"/>
          <w:szCs w:val="24"/>
        </w:rPr>
        <w:t>こと</w:t>
      </w:r>
      <w:r w:rsidR="00D24B0D" w:rsidRPr="002268CA">
        <w:rPr>
          <w:rFonts w:asciiTheme="minorEastAsia" w:hAnsiTheme="minorEastAsia" w:hint="eastAsia"/>
          <w:szCs w:val="24"/>
        </w:rPr>
        <w:t>。</w:t>
      </w:r>
    </w:p>
    <w:p w14:paraId="6FE88571" w14:textId="77777777" w:rsidR="005B04B3" w:rsidRPr="002268CA" w:rsidRDefault="005B04B3" w:rsidP="00970984">
      <w:pPr>
        <w:spacing w:line="320" w:lineRule="exact"/>
        <w:rPr>
          <w:rFonts w:asciiTheme="minorEastAsia" w:hAnsiTheme="minorEastAsia"/>
          <w:szCs w:val="24"/>
        </w:rPr>
      </w:pPr>
    </w:p>
    <w:p w14:paraId="3D7BD5AD" w14:textId="58D148F3" w:rsidR="005B04B3" w:rsidRPr="00A023A6" w:rsidRDefault="005B04B3" w:rsidP="00970984">
      <w:pPr>
        <w:spacing w:afterLines="50" w:after="166" w:line="320" w:lineRule="exact"/>
        <w:rPr>
          <w:rFonts w:asciiTheme="minorEastAsia" w:hAnsiTheme="minorEastAsia"/>
          <w:b/>
          <w:szCs w:val="24"/>
        </w:rPr>
      </w:pPr>
      <w:r w:rsidRPr="00A023A6">
        <w:rPr>
          <w:rFonts w:asciiTheme="minorEastAsia" w:hAnsiTheme="minorEastAsia" w:hint="eastAsia"/>
          <w:b/>
          <w:szCs w:val="24"/>
        </w:rPr>
        <w:t>（３）失業者の退職手当について</w:t>
      </w:r>
    </w:p>
    <w:p w14:paraId="527479AE" w14:textId="77777777" w:rsidR="00A023A6" w:rsidRDefault="00A023A6" w:rsidP="00970984">
      <w:pPr>
        <w:spacing w:line="320" w:lineRule="exact"/>
        <w:ind w:leftChars="100" w:left="240"/>
        <w:rPr>
          <w:rFonts w:asciiTheme="minorEastAsia" w:hAnsiTheme="minorEastAsia"/>
          <w:szCs w:val="24"/>
        </w:rPr>
      </w:pPr>
      <w:r>
        <w:rPr>
          <w:rFonts w:asciiTheme="minorEastAsia" w:hAnsiTheme="minorEastAsia" w:hint="eastAsia"/>
          <w:szCs w:val="24"/>
        </w:rPr>
        <w:t xml:space="preserve">  </w:t>
      </w:r>
      <w:r w:rsidR="005B04B3" w:rsidRPr="00A023A6">
        <w:rPr>
          <w:rFonts w:asciiTheme="minorEastAsia" w:hAnsiTheme="minorEastAsia" w:hint="eastAsia"/>
          <w:spacing w:val="-6"/>
          <w:szCs w:val="24"/>
        </w:rPr>
        <w:t>国家公務員が退職して失業した</w:t>
      </w:r>
      <w:r w:rsidR="00EE5F3D" w:rsidRPr="00A023A6">
        <w:rPr>
          <w:rFonts w:asciiTheme="minorEastAsia" w:hAnsiTheme="minorEastAsia" w:hint="eastAsia"/>
          <w:spacing w:val="-6"/>
          <w:szCs w:val="24"/>
        </w:rPr>
        <w:t>場合</w:t>
      </w:r>
      <w:r w:rsidR="005B04B3" w:rsidRPr="00A023A6">
        <w:rPr>
          <w:rFonts w:asciiTheme="minorEastAsia" w:hAnsiTheme="minorEastAsia" w:hint="eastAsia"/>
          <w:spacing w:val="-6"/>
          <w:szCs w:val="24"/>
        </w:rPr>
        <w:t>、勤続期間が12</w:t>
      </w:r>
      <w:r w:rsidR="008E1156" w:rsidRPr="00A023A6">
        <w:rPr>
          <w:rFonts w:asciiTheme="minorEastAsia" w:hAnsiTheme="minorEastAsia" w:hint="eastAsia"/>
          <w:spacing w:val="-6"/>
          <w:szCs w:val="24"/>
        </w:rPr>
        <w:t>月以上あれば、退職時</w:t>
      </w:r>
      <w:r w:rsidR="005B04B3" w:rsidRPr="00A023A6">
        <w:rPr>
          <w:rFonts w:asciiTheme="minorEastAsia" w:hAnsiTheme="minorEastAsia" w:hint="eastAsia"/>
          <w:spacing w:val="-6"/>
          <w:szCs w:val="24"/>
        </w:rPr>
        <w:t>の退職手当等の</w:t>
      </w:r>
      <w:r w:rsidR="005B04B3" w:rsidRPr="002268CA">
        <w:rPr>
          <w:rFonts w:asciiTheme="minorEastAsia" w:hAnsiTheme="minorEastAsia" w:hint="eastAsia"/>
          <w:szCs w:val="24"/>
        </w:rPr>
        <w:t>額が、雇用保険法を適用した場合に支給される失業等給付の額に満たないときに、その</w:t>
      </w:r>
      <w:r w:rsidR="005B04B3" w:rsidRPr="00A023A6">
        <w:rPr>
          <w:rFonts w:asciiTheme="minorEastAsia" w:hAnsiTheme="minorEastAsia" w:hint="eastAsia"/>
          <w:spacing w:val="2"/>
          <w:szCs w:val="24"/>
        </w:rPr>
        <w:t>差額分を限度として</w:t>
      </w:r>
      <w:r w:rsidR="00416E9F" w:rsidRPr="00A023A6">
        <w:rPr>
          <w:rFonts w:asciiTheme="minorEastAsia" w:hAnsiTheme="minorEastAsia" w:hint="eastAsia"/>
          <w:spacing w:val="2"/>
          <w:szCs w:val="24"/>
        </w:rPr>
        <w:t>「</w:t>
      </w:r>
      <w:r w:rsidR="005B04B3" w:rsidRPr="00A023A6">
        <w:rPr>
          <w:rFonts w:asciiTheme="minorEastAsia" w:hAnsiTheme="minorEastAsia" w:hint="eastAsia"/>
          <w:spacing w:val="2"/>
          <w:szCs w:val="24"/>
        </w:rPr>
        <w:t>失業者の退職手当</w:t>
      </w:r>
      <w:r w:rsidR="00416E9F" w:rsidRPr="00A023A6">
        <w:rPr>
          <w:rFonts w:asciiTheme="minorEastAsia" w:hAnsiTheme="minorEastAsia" w:hint="eastAsia"/>
          <w:spacing w:val="2"/>
          <w:szCs w:val="24"/>
        </w:rPr>
        <w:t>」</w:t>
      </w:r>
      <w:r w:rsidR="005B04B3" w:rsidRPr="00A023A6">
        <w:rPr>
          <w:rFonts w:asciiTheme="minorEastAsia" w:hAnsiTheme="minorEastAsia" w:hint="eastAsia"/>
          <w:spacing w:val="2"/>
          <w:szCs w:val="24"/>
        </w:rPr>
        <w:t>が支給されることとなっている。本手当の</w:t>
      </w:r>
      <w:r w:rsidR="005B04B3" w:rsidRPr="00A023A6">
        <w:rPr>
          <w:rFonts w:asciiTheme="minorEastAsia" w:hAnsiTheme="minorEastAsia" w:hint="eastAsia"/>
          <w:spacing w:val="-6"/>
          <w:szCs w:val="24"/>
        </w:rPr>
        <w:t>支給対象</w:t>
      </w:r>
      <w:r w:rsidR="00416E9F" w:rsidRPr="00A023A6">
        <w:rPr>
          <w:rFonts w:asciiTheme="minorEastAsia" w:hAnsiTheme="minorEastAsia" w:hint="eastAsia"/>
          <w:spacing w:val="-6"/>
          <w:szCs w:val="24"/>
        </w:rPr>
        <w:t>は、①勤続期間が短く</w:t>
      </w:r>
      <w:r w:rsidR="005B04B3" w:rsidRPr="00A023A6">
        <w:rPr>
          <w:rFonts w:asciiTheme="minorEastAsia" w:hAnsiTheme="minorEastAsia" w:hint="eastAsia"/>
          <w:spacing w:val="-6"/>
          <w:szCs w:val="24"/>
        </w:rPr>
        <w:t>退職時に支給される一般の退職手当等の額が相当に低い者か、</w:t>
      </w:r>
      <w:r w:rsidR="00416E9F" w:rsidRPr="00A023A6">
        <w:rPr>
          <w:rFonts w:asciiTheme="minorEastAsia" w:hAnsiTheme="minorEastAsia" w:hint="eastAsia"/>
          <w:spacing w:val="-6"/>
          <w:szCs w:val="24"/>
        </w:rPr>
        <w:t>②</w:t>
      </w:r>
      <w:r w:rsidR="005B04B3" w:rsidRPr="00A023A6">
        <w:rPr>
          <w:rFonts w:asciiTheme="minorEastAsia" w:hAnsiTheme="minorEastAsia" w:hint="eastAsia"/>
          <w:spacing w:val="-6"/>
          <w:szCs w:val="24"/>
        </w:rPr>
        <w:t>懲戒免職処分を受けたことなどにより一般の退職手当等が支給されない者であることから、</w:t>
      </w:r>
      <w:r w:rsidR="005B04B3" w:rsidRPr="002268CA">
        <w:rPr>
          <w:rFonts w:asciiTheme="minorEastAsia" w:hAnsiTheme="minorEastAsia" w:hint="eastAsia"/>
          <w:szCs w:val="24"/>
        </w:rPr>
        <w:t>大多数の国家公務員は</w:t>
      </w:r>
      <w:r w:rsidR="00416E9F" w:rsidRPr="002268CA">
        <w:rPr>
          <w:rFonts w:asciiTheme="minorEastAsia" w:hAnsiTheme="minorEastAsia" w:hint="eastAsia"/>
          <w:szCs w:val="24"/>
        </w:rPr>
        <w:t>該当せず、その必要性についても一定程度理解できるものである。</w:t>
      </w:r>
    </w:p>
    <w:p w14:paraId="52C13313" w14:textId="40B8C370" w:rsidR="005B04B3" w:rsidRPr="002268CA" w:rsidRDefault="00A023A6" w:rsidP="00970984">
      <w:pPr>
        <w:spacing w:line="320" w:lineRule="exact"/>
        <w:ind w:leftChars="100" w:left="240"/>
        <w:rPr>
          <w:rFonts w:asciiTheme="minorEastAsia" w:hAnsiTheme="minorEastAsia"/>
          <w:szCs w:val="24"/>
        </w:rPr>
      </w:pPr>
      <w:r>
        <w:rPr>
          <w:rFonts w:asciiTheme="minorEastAsia" w:hAnsiTheme="minorEastAsia" w:hint="eastAsia"/>
          <w:szCs w:val="24"/>
        </w:rPr>
        <w:t xml:space="preserve">  </w:t>
      </w:r>
      <w:r w:rsidR="005B04B3" w:rsidRPr="002268CA">
        <w:rPr>
          <w:rFonts w:asciiTheme="minorEastAsia" w:hAnsiTheme="minorEastAsia" w:hint="eastAsia"/>
          <w:szCs w:val="24"/>
        </w:rPr>
        <w:t>しかし、官民較差の是正という観点から、</w:t>
      </w:r>
      <w:r w:rsidR="00416E9F" w:rsidRPr="002268CA">
        <w:rPr>
          <w:rFonts w:asciiTheme="minorEastAsia" w:hAnsiTheme="minorEastAsia" w:hint="eastAsia"/>
          <w:szCs w:val="24"/>
        </w:rPr>
        <w:t>また、負担なくして給付無しの観点からも、</w:t>
      </w:r>
      <w:r w:rsidR="00416E9F" w:rsidRPr="00A023A6">
        <w:rPr>
          <w:rFonts w:asciiTheme="minorEastAsia" w:hAnsiTheme="minorEastAsia" w:hint="eastAsia"/>
          <w:spacing w:val="-2"/>
          <w:szCs w:val="24"/>
        </w:rPr>
        <w:t>本手当については、</w:t>
      </w:r>
      <w:r w:rsidR="005B04B3" w:rsidRPr="00A023A6">
        <w:rPr>
          <w:rFonts w:asciiTheme="minorEastAsia" w:hAnsiTheme="minorEastAsia" w:hint="eastAsia"/>
          <w:spacing w:val="-2"/>
          <w:szCs w:val="24"/>
        </w:rPr>
        <w:t>例えば、非常勤職員については雇用保険法を適用し、懲戒免職処分を</w:t>
      </w:r>
      <w:r w:rsidR="005B04B3" w:rsidRPr="00A023A6">
        <w:rPr>
          <w:rFonts w:asciiTheme="minorEastAsia" w:hAnsiTheme="minorEastAsia" w:hint="eastAsia"/>
          <w:spacing w:val="-6"/>
          <w:szCs w:val="24"/>
        </w:rPr>
        <w:t>受けた者等については退職手当を</w:t>
      </w:r>
      <w:r w:rsidR="00416E9F" w:rsidRPr="00A023A6">
        <w:rPr>
          <w:rFonts w:asciiTheme="minorEastAsia" w:hAnsiTheme="minorEastAsia" w:hint="eastAsia"/>
          <w:spacing w:val="-6"/>
          <w:szCs w:val="24"/>
        </w:rPr>
        <w:t>支給しない</w:t>
      </w:r>
      <w:r w:rsidR="005B04B3" w:rsidRPr="00A023A6">
        <w:rPr>
          <w:rFonts w:asciiTheme="minorEastAsia" w:hAnsiTheme="minorEastAsia" w:hint="eastAsia"/>
          <w:spacing w:val="-6"/>
          <w:szCs w:val="24"/>
        </w:rPr>
        <w:t>など、その必要性</w:t>
      </w:r>
      <w:r w:rsidR="00416E9F" w:rsidRPr="00A023A6">
        <w:rPr>
          <w:rFonts w:asciiTheme="minorEastAsia" w:hAnsiTheme="minorEastAsia" w:hint="eastAsia"/>
          <w:spacing w:val="-6"/>
          <w:szCs w:val="24"/>
        </w:rPr>
        <w:t>、在り方について</w:t>
      </w:r>
      <w:r w:rsidR="005B04B3" w:rsidRPr="00A023A6">
        <w:rPr>
          <w:rFonts w:asciiTheme="minorEastAsia" w:hAnsiTheme="minorEastAsia" w:hint="eastAsia"/>
          <w:spacing w:val="-6"/>
          <w:szCs w:val="24"/>
        </w:rPr>
        <w:t>見直</w:t>
      </w:r>
      <w:r w:rsidR="00416E9F" w:rsidRPr="00A023A6">
        <w:rPr>
          <w:rFonts w:asciiTheme="minorEastAsia" w:hAnsiTheme="minorEastAsia" w:hint="eastAsia"/>
          <w:spacing w:val="-6"/>
          <w:szCs w:val="24"/>
        </w:rPr>
        <w:t>す</w:t>
      </w:r>
      <w:r w:rsidR="005B04B3" w:rsidRPr="00A023A6">
        <w:rPr>
          <w:rFonts w:asciiTheme="minorEastAsia" w:hAnsiTheme="minorEastAsia" w:hint="eastAsia"/>
          <w:spacing w:val="-6"/>
          <w:szCs w:val="24"/>
        </w:rPr>
        <w:t>こと。</w:t>
      </w:r>
    </w:p>
    <w:p w14:paraId="1AA982B3" w14:textId="77777777" w:rsidR="00D909B0" w:rsidRPr="002268CA" w:rsidRDefault="00D909B0" w:rsidP="00970984">
      <w:pPr>
        <w:spacing w:line="360" w:lineRule="auto"/>
        <w:ind w:left="425" w:hangingChars="177" w:hanging="425"/>
        <w:rPr>
          <w:rFonts w:asciiTheme="minorEastAsia" w:hAnsiTheme="minorEastAsia"/>
          <w:szCs w:val="24"/>
        </w:rPr>
      </w:pPr>
    </w:p>
    <w:p w14:paraId="7407BDA7" w14:textId="77D651EA" w:rsidR="00D909B0" w:rsidRPr="00A023A6" w:rsidRDefault="00A72675" w:rsidP="00970984">
      <w:pPr>
        <w:spacing w:line="320" w:lineRule="exact"/>
        <w:ind w:left="498" w:hangingChars="177" w:hanging="498"/>
        <w:rPr>
          <w:rFonts w:asciiTheme="minorEastAsia" w:hAnsiTheme="minorEastAsia"/>
          <w:b/>
          <w:sz w:val="28"/>
          <w:szCs w:val="28"/>
          <w:u w:val="single"/>
        </w:rPr>
      </w:pPr>
      <w:r w:rsidRPr="00A023A6">
        <w:rPr>
          <w:rFonts w:asciiTheme="minorEastAsia" w:hAnsiTheme="minorEastAsia" w:hint="eastAsia"/>
          <w:b/>
          <w:sz w:val="28"/>
          <w:szCs w:val="28"/>
          <w:u w:val="single"/>
        </w:rPr>
        <w:t>３</w:t>
      </w:r>
      <w:r w:rsidR="00D909B0" w:rsidRPr="00A023A6">
        <w:rPr>
          <w:rFonts w:asciiTheme="minorEastAsia" w:hAnsiTheme="minorEastAsia" w:hint="eastAsia"/>
          <w:b/>
          <w:sz w:val="28"/>
          <w:szCs w:val="28"/>
          <w:u w:val="single"/>
        </w:rPr>
        <w:t>．地方公務員の等級等ごとの職員数の公表の推進について</w:t>
      </w:r>
    </w:p>
    <w:p w14:paraId="5E76D75D" w14:textId="77777777" w:rsidR="00A023A6" w:rsidRDefault="00A023A6" w:rsidP="00970984">
      <w:pPr>
        <w:spacing w:line="320" w:lineRule="exact"/>
        <w:rPr>
          <w:rFonts w:asciiTheme="minorEastAsia" w:hAnsiTheme="minorEastAsia"/>
          <w:szCs w:val="24"/>
        </w:rPr>
      </w:pPr>
    </w:p>
    <w:p w14:paraId="673B7735" w14:textId="1E45A555" w:rsidR="005B04B3" w:rsidRPr="002268CA" w:rsidRDefault="00A023A6" w:rsidP="00970984">
      <w:pPr>
        <w:spacing w:line="320" w:lineRule="exact"/>
        <w:rPr>
          <w:rFonts w:asciiTheme="minorEastAsia" w:hAnsiTheme="minorEastAsia"/>
          <w:szCs w:val="24"/>
        </w:rPr>
      </w:pPr>
      <w:r>
        <w:rPr>
          <w:rFonts w:asciiTheme="minorEastAsia" w:hAnsiTheme="minorEastAsia" w:hint="eastAsia"/>
          <w:szCs w:val="24"/>
        </w:rPr>
        <w:t xml:space="preserve">  </w:t>
      </w:r>
      <w:r w:rsidR="005B04B3" w:rsidRPr="00A023A6">
        <w:rPr>
          <w:rFonts w:asciiTheme="minorEastAsia" w:hAnsiTheme="minorEastAsia" w:hint="eastAsia"/>
          <w:spacing w:val="2"/>
          <w:szCs w:val="24"/>
        </w:rPr>
        <w:t>地方公務員の給与水準の設定に当たっては、それぞれの地域ごとの民間準拠を基本と</w:t>
      </w:r>
      <w:r w:rsidR="005B04B3" w:rsidRPr="002268CA">
        <w:rPr>
          <w:rFonts w:asciiTheme="minorEastAsia" w:hAnsiTheme="minorEastAsia" w:hint="eastAsia"/>
          <w:szCs w:val="24"/>
        </w:rPr>
        <w:t>すべきであるが、実際には、人事院勧告に基づく国家公務員の給与水準等が事実上の上限</w:t>
      </w:r>
      <w:r w:rsidR="005B04B3" w:rsidRPr="00970984">
        <w:rPr>
          <w:rFonts w:asciiTheme="minorEastAsia" w:hAnsiTheme="minorEastAsia" w:hint="eastAsia"/>
          <w:spacing w:val="2"/>
          <w:szCs w:val="24"/>
        </w:rPr>
        <w:t>となり、過度に高い給与水準とならないよう作用する一方で、下げ圧力を弱めてしまう</w:t>
      </w:r>
      <w:r w:rsidR="005B04B3" w:rsidRPr="00970984">
        <w:rPr>
          <w:rFonts w:asciiTheme="minorEastAsia" w:hAnsiTheme="minorEastAsia" w:hint="eastAsia"/>
          <w:spacing w:val="-2"/>
          <w:szCs w:val="24"/>
        </w:rPr>
        <w:t>効果もあるとの指摘がある。また、地方公務員の給与については、地方公共団体給与情報等</w:t>
      </w:r>
      <w:r w:rsidR="005B04B3" w:rsidRPr="00970984">
        <w:rPr>
          <w:rFonts w:asciiTheme="minorEastAsia" w:hAnsiTheme="minorEastAsia" w:hint="eastAsia"/>
          <w:spacing w:val="2"/>
          <w:szCs w:val="24"/>
        </w:rPr>
        <w:t>公表システム等を通じて確認できるとおり、各地方公共団体の努力により全体としては</w:t>
      </w:r>
      <w:r w:rsidR="005B04B3" w:rsidRPr="002268CA">
        <w:rPr>
          <w:rFonts w:asciiTheme="minorEastAsia" w:hAnsiTheme="minorEastAsia" w:hint="eastAsia"/>
          <w:szCs w:val="24"/>
        </w:rPr>
        <w:t>適正化が進んでいるものの、一部の団体においては給与制度・運用等に問題が残っている。このため、地方公務員の給与の一層の適正化を図るべく、各地方公共団体の給料表の等級</w:t>
      </w:r>
      <w:r w:rsidR="005B04B3" w:rsidRPr="00970984">
        <w:rPr>
          <w:rFonts w:asciiTheme="minorEastAsia" w:hAnsiTheme="minorEastAsia" w:hint="eastAsia"/>
          <w:spacing w:val="-2"/>
          <w:szCs w:val="24"/>
        </w:rPr>
        <w:t>ごとの職員数に加えて、各等級に張り付いている職名ごとの職員数等の公表状況についても</w:t>
      </w:r>
      <w:r w:rsidR="005B04B3" w:rsidRPr="002268CA">
        <w:rPr>
          <w:rFonts w:asciiTheme="minorEastAsia" w:hAnsiTheme="minorEastAsia" w:hint="eastAsia"/>
          <w:szCs w:val="24"/>
        </w:rPr>
        <w:t>実態調査を行い、その結果について公表すること。</w:t>
      </w:r>
    </w:p>
    <w:p w14:paraId="4A026BFE" w14:textId="74D68B68" w:rsidR="005B04B3" w:rsidRPr="002268CA" w:rsidRDefault="00A023A6" w:rsidP="00970984">
      <w:pPr>
        <w:spacing w:line="320" w:lineRule="exact"/>
        <w:rPr>
          <w:rFonts w:asciiTheme="minorEastAsia" w:hAnsiTheme="minorEastAsia"/>
          <w:szCs w:val="24"/>
        </w:rPr>
      </w:pPr>
      <w:r>
        <w:rPr>
          <w:rFonts w:asciiTheme="minorEastAsia" w:hAnsiTheme="minorEastAsia" w:hint="eastAsia"/>
          <w:szCs w:val="24"/>
        </w:rPr>
        <w:t xml:space="preserve">  </w:t>
      </w:r>
      <w:r w:rsidR="005B04B3" w:rsidRPr="002268CA">
        <w:rPr>
          <w:rFonts w:asciiTheme="minorEastAsia" w:hAnsiTheme="minorEastAsia" w:hint="eastAsia"/>
          <w:szCs w:val="24"/>
        </w:rPr>
        <w:t>なお、地方公務員の給与適正化に課題のある地方公共団体については特に、給与改定を</w:t>
      </w:r>
      <w:r w:rsidR="005B04B3" w:rsidRPr="00970984">
        <w:rPr>
          <w:rFonts w:asciiTheme="minorEastAsia" w:hAnsiTheme="minorEastAsia" w:hint="eastAsia"/>
          <w:spacing w:val="-6"/>
          <w:szCs w:val="24"/>
        </w:rPr>
        <w:t>行う際には、議会においてこれを積極的に取り上げ、住民自治に基づく適正化が行われるよう</w:t>
      </w:r>
      <w:r w:rsidR="005B04B3" w:rsidRPr="002268CA">
        <w:rPr>
          <w:rFonts w:asciiTheme="minorEastAsia" w:hAnsiTheme="minorEastAsia" w:hint="eastAsia"/>
          <w:szCs w:val="24"/>
        </w:rPr>
        <w:t>議論を尽くすことが必要である。</w:t>
      </w:r>
    </w:p>
    <w:p w14:paraId="65DC6724" w14:textId="0E238600" w:rsidR="00E278BA" w:rsidRPr="002268CA" w:rsidRDefault="00A023A6" w:rsidP="00970984">
      <w:pPr>
        <w:spacing w:line="320" w:lineRule="exact"/>
        <w:ind w:leftChars="227" w:left="785" w:hangingChars="100" w:hanging="240"/>
        <w:jc w:val="right"/>
        <w:rPr>
          <w:rFonts w:asciiTheme="minorEastAsia" w:hAnsiTheme="minorEastAsia"/>
          <w:szCs w:val="24"/>
        </w:rPr>
      </w:pPr>
      <w:r>
        <w:rPr>
          <w:rFonts w:asciiTheme="minorEastAsia" w:hAnsiTheme="minorEastAsia" w:hint="eastAsia"/>
          <w:szCs w:val="24"/>
        </w:rPr>
        <w:t>以  上</w:t>
      </w:r>
    </w:p>
    <w:sectPr w:rsidR="00E278BA" w:rsidRPr="002268CA" w:rsidSect="00B20010">
      <w:footerReference w:type="default" r:id="rId9"/>
      <w:pgSz w:w="11906" w:h="16838" w:code="9"/>
      <w:pgMar w:top="1418" w:right="1134" w:bottom="1134" w:left="1134" w:header="851" w:footer="284"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CBA4" w14:textId="77777777" w:rsidR="00376DDF" w:rsidRDefault="00376DDF" w:rsidP="00EB30BC">
      <w:r>
        <w:separator/>
      </w:r>
    </w:p>
  </w:endnote>
  <w:endnote w:type="continuationSeparator" w:id="0">
    <w:p w14:paraId="28E22B9C" w14:textId="77777777" w:rsidR="00376DDF" w:rsidRDefault="00376DDF" w:rsidP="00EB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02732"/>
      <w:docPartObj>
        <w:docPartGallery w:val="Page Numbers (Bottom of Page)"/>
        <w:docPartUnique/>
      </w:docPartObj>
    </w:sdtPr>
    <w:sdtEndPr>
      <w:rPr>
        <w:rFonts w:asciiTheme="minorEastAsia" w:hAnsiTheme="minorEastAsia"/>
      </w:rPr>
    </w:sdtEndPr>
    <w:sdtContent>
      <w:p w14:paraId="1CD2085C" w14:textId="0B121CB6" w:rsidR="002268CA" w:rsidRPr="002268CA" w:rsidRDefault="002268CA">
        <w:pPr>
          <w:pStyle w:val="a6"/>
          <w:jc w:val="center"/>
          <w:rPr>
            <w:rFonts w:asciiTheme="minorEastAsia" w:hAnsiTheme="minorEastAsia"/>
          </w:rPr>
        </w:pPr>
        <w:r w:rsidRPr="002268CA">
          <w:rPr>
            <w:rFonts w:asciiTheme="minorEastAsia" w:hAnsiTheme="minorEastAsia"/>
          </w:rPr>
          <w:fldChar w:fldCharType="begin"/>
        </w:r>
        <w:r w:rsidRPr="002268CA">
          <w:rPr>
            <w:rFonts w:asciiTheme="minorEastAsia" w:hAnsiTheme="minorEastAsia"/>
          </w:rPr>
          <w:instrText>PAGE   \* MERGEFORMAT</w:instrText>
        </w:r>
        <w:r w:rsidRPr="002268CA">
          <w:rPr>
            <w:rFonts w:asciiTheme="minorEastAsia" w:hAnsiTheme="minorEastAsia"/>
          </w:rPr>
          <w:fldChar w:fldCharType="separate"/>
        </w:r>
        <w:r w:rsidR="000B409D" w:rsidRPr="000B409D">
          <w:rPr>
            <w:rFonts w:asciiTheme="minorEastAsia" w:hAnsiTheme="minorEastAsia"/>
            <w:noProof/>
            <w:lang w:val="ja-JP"/>
          </w:rPr>
          <w:t>2</w:t>
        </w:r>
        <w:r w:rsidRPr="002268CA">
          <w:rPr>
            <w:rFonts w:asciiTheme="minorEastAsia" w:hAnsiTheme="minorEastAsia"/>
          </w:rPr>
          <w:fldChar w:fldCharType="end"/>
        </w:r>
      </w:p>
    </w:sdtContent>
  </w:sdt>
  <w:p w14:paraId="18EE5E5A" w14:textId="77777777" w:rsidR="002268CA" w:rsidRDefault="002268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049C" w14:textId="77777777" w:rsidR="00376DDF" w:rsidRDefault="00376DDF" w:rsidP="00EB30BC">
      <w:r>
        <w:separator/>
      </w:r>
    </w:p>
  </w:footnote>
  <w:footnote w:type="continuationSeparator" w:id="0">
    <w:p w14:paraId="48F67691" w14:textId="77777777" w:rsidR="00376DDF" w:rsidRDefault="00376DDF" w:rsidP="00EB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C90"/>
    <w:multiLevelType w:val="hybridMultilevel"/>
    <w:tmpl w:val="4DA2CEF2"/>
    <w:lvl w:ilvl="0" w:tplc="631A47D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7C1F89"/>
    <w:multiLevelType w:val="hybridMultilevel"/>
    <w:tmpl w:val="C896BF0E"/>
    <w:lvl w:ilvl="0" w:tplc="ACD4DD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84"/>
    <w:rsid w:val="00007675"/>
    <w:rsid w:val="000111B6"/>
    <w:rsid w:val="00013F67"/>
    <w:rsid w:val="00025F63"/>
    <w:rsid w:val="00064B05"/>
    <w:rsid w:val="00084965"/>
    <w:rsid w:val="000B409D"/>
    <w:rsid w:val="000C18F2"/>
    <w:rsid w:val="000C6F75"/>
    <w:rsid w:val="000D058D"/>
    <w:rsid w:val="000E6A8F"/>
    <w:rsid w:val="00123B31"/>
    <w:rsid w:val="001507C7"/>
    <w:rsid w:val="00164BA3"/>
    <w:rsid w:val="00173811"/>
    <w:rsid w:val="001957C9"/>
    <w:rsid w:val="001A1C59"/>
    <w:rsid w:val="001C35A9"/>
    <w:rsid w:val="001D219F"/>
    <w:rsid w:val="001F3F03"/>
    <w:rsid w:val="0021232E"/>
    <w:rsid w:val="00212AC7"/>
    <w:rsid w:val="00225656"/>
    <w:rsid w:val="0022684B"/>
    <w:rsid w:val="002268CA"/>
    <w:rsid w:val="00237244"/>
    <w:rsid w:val="00265AB9"/>
    <w:rsid w:val="00265DDE"/>
    <w:rsid w:val="0027141B"/>
    <w:rsid w:val="0027757F"/>
    <w:rsid w:val="002B1386"/>
    <w:rsid w:val="002E0FE2"/>
    <w:rsid w:val="002F2D76"/>
    <w:rsid w:val="003577C8"/>
    <w:rsid w:val="003632E2"/>
    <w:rsid w:val="0037513A"/>
    <w:rsid w:val="00376DDF"/>
    <w:rsid w:val="00384BB5"/>
    <w:rsid w:val="00396253"/>
    <w:rsid w:val="003B6F1A"/>
    <w:rsid w:val="003C3B74"/>
    <w:rsid w:val="003E014B"/>
    <w:rsid w:val="003E3D08"/>
    <w:rsid w:val="00402FE3"/>
    <w:rsid w:val="00416E9F"/>
    <w:rsid w:val="00431630"/>
    <w:rsid w:val="00451E72"/>
    <w:rsid w:val="00455A03"/>
    <w:rsid w:val="00456120"/>
    <w:rsid w:val="00485824"/>
    <w:rsid w:val="004A6562"/>
    <w:rsid w:val="004A6D6A"/>
    <w:rsid w:val="004B1538"/>
    <w:rsid w:val="004C229F"/>
    <w:rsid w:val="004D76D0"/>
    <w:rsid w:val="004F153E"/>
    <w:rsid w:val="005027AC"/>
    <w:rsid w:val="00514151"/>
    <w:rsid w:val="00516C77"/>
    <w:rsid w:val="00516F15"/>
    <w:rsid w:val="005212C1"/>
    <w:rsid w:val="00525456"/>
    <w:rsid w:val="00544BB2"/>
    <w:rsid w:val="00565755"/>
    <w:rsid w:val="005879ED"/>
    <w:rsid w:val="00595B0E"/>
    <w:rsid w:val="005972F3"/>
    <w:rsid w:val="005A0A17"/>
    <w:rsid w:val="005A2FC3"/>
    <w:rsid w:val="005B04B3"/>
    <w:rsid w:val="005C25AC"/>
    <w:rsid w:val="005E1E87"/>
    <w:rsid w:val="005E37F2"/>
    <w:rsid w:val="005F5B96"/>
    <w:rsid w:val="005F6552"/>
    <w:rsid w:val="006016FB"/>
    <w:rsid w:val="00612F81"/>
    <w:rsid w:val="006205DC"/>
    <w:rsid w:val="00656370"/>
    <w:rsid w:val="00656C63"/>
    <w:rsid w:val="0065797B"/>
    <w:rsid w:val="00663F35"/>
    <w:rsid w:val="00664C22"/>
    <w:rsid w:val="00685B48"/>
    <w:rsid w:val="006A3C02"/>
    <w:rsid w:val="006E0658"/>
    <w:rsid w:val="006E67C8"/>
    <w:rsid w:val="00733879"/>
    <w:rsid w:val="00737E5F"/>
    <w:rsid w:val="007420AA"/>
    <w:rsid w:val="00781FDD"/>
    <w:rsid w:val="0078407E"/>
    <w:rsid w:val="00784373"/>
    <w:rsid w:val="007B281B"/>
    <w:rsid w:val="007B69AC"/>
    <w:rsid w:val="007F12B5"/>
    <w:rsid w:val="00812281"/>
    <w:rsid w:val="0081528C"/>
    <w:rsid w:val="008163FB"/>
    <w:rsid w:val="008533B2"/>
    <w:rsid w:val="00866A6F"/>
    <w:rsid w:val="008954B7"/>
    <w:rsid w:val="008D4833"/>
    <w:rsid w:val="008E112A"/>
    <w:rsid w:val="008E1156"/>
    <w:rsid w:val="008E35ED"/>
    <w:rsid w:val="008F2268"/>
    <w:rsid w:val="009033D0"/>
    <w:rsid w:val="00923E79"/>
    <w:rsid w:val="009360B9"/>
    <w:rsid w:val="00952B63"/>
    <w:rsid w:val="00965C99"/>
    <w:rsid w:val="00970984"/>
    <w:rsid w:val="00983673"/>
    <w:rsid w:val="00992F51"/>
    <w:rsid w:val="00996213"/>
    <w:rsid w:val="009C0CEC"/>
    <w:rsid w:val="009D59BB"/>
    <w:rsid w:val="009E41B9"/>
    <w:rsid w:val="009E489B"/>
    <w:rsid w:val="009E6782"/>
    <w:rsid w:val="00A023A6"/>
    <w:rsid w:val="00A1080C"/>
    <w:rsid w:val="00A15542"/>
    <w:rsid w:val="00A17617"/>
    <w:rsid w:val="00A2756A"/>
    <w:rsid w:val="00A34CEB"/>
    <w:rsid w:val="00A358F6"/>
    <w:rsid w:val="00A379B8"/>
    <w:rsid w:val="00A72675"/>
    <w:rsid w:val="00A77730"/>
    <w:rsid w:val="00A92514"/>
    <w:rsid w:val="00AA6B1A"/>
    <w:rsid w:val="00AB2A0C"/>
    <w:rsid w:val="00AB2B46"/>
    <w:rsid w:val="00AC0088"/>
    <w:rsid w:val="00AC39A9"/>
    <w:rsid w:val="00AD3921"/>
    <w:rsid w:val="00B20010"/>
    <w:rsid w:val="00B23877"/>
    <w:rsid w:val="00B31557"/>
    <w:rsid w:val="00B45629"/>
    <w:rsid w:val="00B848CF"/>
    <w:rsid w:val="00B9047A"/>
    <w:rsid w:val="00BC7DD3"/>
    <w:rsid w:val="00BD4392"/>
    <w:rsid w:val="00BD70C0"/>
    <w:rsid w:val="00BF2B71"/>
    <w:rsid w:val="00C04D64"/>
    <w:rsid w:val="00C33554"/>
    <w:rsid w:val="00C57E4F"/>
    <w:rsid w:val="00C63684"/>
    <w:rsid w:val="00C65D35"/>
    <w:rsid w:val="00C82DCF"/>
    <w:rsid w:val="00C8578A"/>
    <w:rsid w:val="00C862EC"/>
    <w:rsid w:val="00C960D3"/>
    <w:rsid w:val="00CA3DBE"/>
    <w:rsid w:val="00CB09F4"/>
    <w:rsid w:val="00CD1490"/>
    <w:rsid w:val="00CD4CA6"/>
    <w:rsid w:val="00CD7D6F"/>
    <w:rsid w:val="00CF7625"/>
    <w:rsid w:val="00D11240"/>
    <w:rsid w:val="00D24B0D"/>
    <w:rsid w:val="00D45A34"/>
    <w:rsid w:val="00D74531"/>
    <w:rsid w:val="00D828C4"/>
    <w:rsid w:val="00D86DF9"/>
    <w:rsid w:val="00D909B0"/>
    <w:rsid w:val="00DB7E27"/>
    <w:rsid w:val="00DC113C"/>
    <w:rsid w:val="00DC1FF3"/>
    <w:rsid w:val="00DD11F2"/>
    <w:rsid w:val="00DD3025"/>
    <w:rsid w:val="00DF4146"/>
    <w:rsid w:val="00E21E3A"/>
    <w:rsid w:val="00E21F1E"/>
    <w:rsid w:val="00E278BA"/>
    <w:rsid w:val="00E427CC"/>
    <w:rsid w:val="00E83B37"/>
    <w:rsid w:val="00E92DD1"/>
    <w:rsid w:val="00E96668"/>
    <w:rsid w:val="00EA3EB5"/>
    <w:rsid w:val="00EB30BC"/>
    <w:rsid w:val="00EC2EC3"/>
    <w:rsid w:val="00EC6BC3"/>
    <w:rsid w:val="00ED0F05"/>
    <w:rsid w:val="00EE5F3D"/>
    <w:rsid w:val="00EF3A78"/>
    <w:rsid w:val="00F0383E"/>
    <w:rsid w:val="00F1043B"/>
    <w:rsid w:val="00F226AC"/>
    <w:rsid w:val="00F238E4"/>
    <w:rsid w:val="00F75D11"/>
    <w:rsid w:val="00F918C9"/>
    <w:rsid w:val="00FA74EF"/>
    <w:rsid w:val="00FB5783"/>
    <w:rsid w:val="00FC2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0F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3B"/>
    <w:pPr>
      <w:ind w:leftChars="400" w:left="840"/>
    </w:pPr>
  </w:style>
  <w:style w:type="paragraph" w:styleId="a4">
    <w:name w:val="header"/>
    <w:basedOn w:val="a"/>
    <w:link w:val="a5"/>
    <w:uiPriority w:val="99"/>
    <w:unhideWhenUsed/>
    <w:rsid w:val="00EB30BC"/>
    <w:pPr>
      <w:tabs>
        <w:tab w:val="center" w:pos="4252"/>
        <w:tab w:val="right" w:pos="8504"/>
      </w:tabs>
      <w:snapToGrid w:val="0"/>
    </w:pPr>
  </w:style>
  <w:style w:type="character" w:customStyle="1" w:styleId="a5">
    <w:name w:val="ヘッダー (文字)"/>
    <w:basedOn w:val="a0"/>
    <w:link w:val="a4"/>
    <w:uiPriority w:val="99"/>
    <w:rsid w:val="00EB30BC"/>
  </w:style>
  <w:style w:type="paragraph" w:styleId="a6">
    <w:name w:val="footer"/>
    <w:basedOn w:val="a"/>
    <w:link w:val="a7"/>
    <w:uiPriority w:val="99"/>
    <w:unhideWhenUsed/>
    <w:rsid w:val="00EB30BC"/>
    <w:pPr>
      <w:tabs>
        <w:tab w:val="center" w:pos="4252"/>
        <w:tab w:val="right" w:pos="8504"/>
      </w:tabs>
      <w:snapToGrid w:val="0"/>
    </w:pPr>
  </w:style>
  <w:style w:type="character" w:customStyle="1" w:styleId="a7">
    <w:name w:val="フッター (文字)"/>
    <w:basedOn w:val="a0"/>
    <w:link w:val="a6"/>
    <w:uiPriority w:val="99"/>
    <w:rsid w:val="00EB30BC"/>
  </w:style>
  <w:style w:type="paragraph" w:styleId="a8">
    <w:name w:val="footnote text"/>
    <w:basedOn w:val="a"/>
    <w:link w:val="a9"/>
    <w:uiPriority w:val="99"/>
    <w:semiHidden/>
    <w:unhideWhenUsed/>
    <w:rsid w:val="002B1386"/>
    <w:pPr>
      <w:snapToGrid w:val="0"/>
      <w:jc w:val="left"/>
    </w:pPr>
  </w:style>
  <w:style w:type="character" w:customStyle="1" w:styleId="a9">
    <w:name w:val="脚注文字列 (文字)"/>
    <w:basedOn w:val="a0"/>
    <w:link w:val="a8"/>
    <w:uiPriority w:val="99"/>
    <w:semiHidden/>
    <w:rsid w:val="002B1386"/>
  </w:style>
  <w:style w:type="character" w:styleId="aa">
    <w:name w:val="footnote reference"/>
    <w:basedOn w:val="a0"/>
    <w:uiPriority w:val="99"/>
    <w:semiHidden/>
    <w:unhideWhenUsed/>
    <w:rsid w:val="002B1386"/>
    <w:rPr>
      <w:vertAlign w:val="superscript"/>
    </w:rPr>
  </w:style>
  <w:style w:type="paragraph" w:styleId="ab">
    <w:name w:val="Note Heading"/>
    <w:basedOn w:val="a"/>
    <w:next w:val="a"/>
    <w:link w:val="ac"/>
    <w:uiPriority w:val="99"/>
    <w:unhideWhenUsed/>
    <w:rsid w:val="005F6552"/>
    <w:pPr>
      <w:jc w:val="center"/>
    </w:pPr>
    <w:rPr>
      <w:rFonts w:asciiTheme="minorEastAsia" w:hAnsiTheme="minorEastAsia"/>
      <w:szCs w:val="24"/>
    </w:rPr>
  </w:style>
  <w:style w:type="character" w:customStyle="1" w:styleId="ac">
    <w:name w:val="記 (文字)"/>
    <w:basedOn w:val="a0"/>
    <w:link w:val="ab"/>
    <w:uiPriority w:val="99"/>
    <w:rsid w:val="005F6552"/>
    <w:rPr>
      <w:rFonts w:asciiTheme="minorEastAsia" w:hAnsiTheme="minorEastAsia"/>
      <w:sz w:val="24"/>
      <w:szCs w:val="24"/>
    </w:rPr>
  </w:style>
  <w:style w:type="paragraph" w:styleId="ad">
    <w:name w:val="Closing"/>
    <w:basedOn w:val="a"/>
    <w:link w:val="ae"/>
    <w:uiPriority w:val="99"/>
    <w:unhideWhenUsed/>
    <w:rsid w:val="005F6552"/>
    <w:pPr>
      <w:jc w:val="right"/>
    </w:pPr>
    <w:rPr>
      <w:rFonts w:asciiTheme="minorEastAsia" w:hAnsiTheme="minorEastAsia"/>
      <w:szCs w:val="24"/>
    </w:rPr>
  </w:style>
  <w:style w:type="character" w:customStyle="1" w:styleId="ae">
    <w:name w:val="結語 (文字)"/>
    <w:basedOn w:val="a0"/>
    <w:link w:val="ad"/>
    <w:uiPriority w:val="99"/>
    <w:rsid w:val="005F6552"/>
    <w:rPr>
      <w:rFonts w:asciiTheme="minorEastAsia" w:hAnsiTheme="minorEastAsia"/>
      <w:sz w:val="24"/>
      <w:szCs w:val="24"/>
    </w:rPr>
  </w:style>
  <w:style w:type="paragraph" w:styleId="af">
    <w:name w:val="Balloon Text"/>
    <w:basedOn w:val="a"/>
    <w:link w:val="af0"/>
    <w:uiPriority w:val="99"/>
    <w:semiHidden/>
    <w:unhideWhenUsed/>
    <w:rsid w:val="001A1C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1C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C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3B"/>
    <w:pPr>
      <w:ind w:leftChars="400" w:left="840"/>
    </w:pPr>
  </w:style>
  <w:style w:type="paragraph" w:styleId="a4">
    <w:name w:val="header"/>
    <w:basedOn w:val="a"/>
    <w:link w:val="a5"/>
    <w:uiPriority w:val="99"/>
    <w:unhideWhenUsed/>
    <w:rsid w:val="00EB30BC"/>
    <w:pPr>
      <w:tabs>
        <w:tab w:val="center" w:pos="4252"/>
        <w:tab w:val="right" w:pos="8504"/>
      </w:tabs>
      <w:snapToGrid w:val="0"/>
    </w:pPr>
  </w:style>
  <w:style w:type="character" w:customStyle="1" w:styleId="a5">
    <w:name w:val="ヘッダー (文字)"/>
    <w:basedOn w:val="a0"/>
    <w:link w:val="a4"/>
    <w:uiPriority w:val="99"/>
    <w:rsid w:val="00EB30BC"/>
  </w:style>
  <w:style w:type="paragraph" w:styleId="a6">
    <w:name w:val="footer"/>
    <w:basedOn w:val="a"/>
    <w:link w:val="a7"/>
    <w:uiPriority w:val="99"/>
    <w:unhideWhenUsed/>
    <w:rsid w:val="00EB30BC"/>
    <w:pPr>
      <w:tabs>
        <w:tab w:val="center" w:pos="4252"/>
        <w:tab w:val="right" w:pos="8504"/>
      </w:tabs>
      <w:snapToGrid w:val="0"/>
    </w:pPr>
  </w:style>
  <w:style w:type="character" w:customStyle="1" w:styleId="a7">
    <w:name w:val="フッター (文字)"/>
    <w:basedOn w:val="a0"/>
    <w:link w:val="a6"/>
    <w:uiPriority w:val="99"/>
    <w:rsid w:val="00EB30BC"/>
  </w:style>
  <w:style w:type="paragraph" w:styleId="a8">
    <w:name w:val="footnote text"/>
    <w:basedOn w:val="a"/>
    <w:link w:val="a9"/>
    <w:uiPriority w:val="99"/>
    <w:semiHidden/>
    <w:unhideWhenUsed/>
    <w:rsid w:val="002B1386"/>
    <w:pPr>
      <w:snapToGrid w:val="0"/>
      <w:jc w:val="left"/>
    </w:pPr>
  </w:style>
  <w:style w:type="character" w:customStyle="1" w:styleId="a9">
    <w:name w:val="脚注文字列 (文字)"/>
    <w:basedOn w:val="a0"/>
    <w:link w:val="a8"/>
    <w:uiPriority w:val="99"/>
    <w:semiHidden/>
    <w:rsid w:val="002B1386"/>
  </w:style>
  <w:style w:type="character" w:styleId="aa">
    <w:name w:val="footnote reference"/>
    <w:basedOn w:val="a0"/>
    <w:uiPriority w:val="99"/>
    <w:semiHidden/>
    <w:unhideWhenUsed/>
    <w:rsid w:val="002B1386"/>
    <w:rPr>
      <w:vertAlign w:val="superscript"/>
    </w:rPr>
  </w:style>
  <w:style w:type="paragraph" w:styleId="ab">
    <w:name w:val="Note Heading"/>
    <w:basedOn w:val="a"/>
    <w:next w:val="a"/>
    <w:link w:val="ac"/>
    <w:uiPriority w:val="99"/>
    <w:unhideWhenUsed/>
    <w:rsid w:val="005F6552"/>
    <w:pPr>
      <w:jc w:val="center"/>
    </w:pPr>
    <w:rPr>
      <w:rFonts w:asciiTheme="minorEastAsia" w:hAnsiTheme="minorEastAsia"/>
      <w:szCs w:val="24"/>
    </w:rPr>
  </w:style>
  <w:style w:type="character" w:customStyle="1" w:styleId="ac">
    <w:name w:val="記 (文字)"/>
    <w:basedOn w:val="a0"/>
    <w:link w:val="ab"/>
    <w:uiPriority w:val="99"/>
    <w:rsid w:val="005F6552"/>
    <w:rPr>
      <w:rFonts w:asciiTheme="minorEastAsia" w:hAnsiTheme="minorEastAsia"/>
      <w:sz w:val="24"/>
      <w:szCs w:val="24"/>
    </w:rPr>
  </w:style>
  <w:style w:type="paragraph" w:styleId="ad">
    <w:name w:val="Closing"/>
    <w:basedOn w:val="a"/>
    <w:link w:val="ae"/>
    <w:uiPriority w:val="99"/>
    <w:unhideWhenUsed/>
    <w:rsid w:val="005F6552"/>
    <w:pPr>
      <w:jc w:val="right"/>
    </w:pPr>
    <w:rPr>
      <w:rFonts w:asciiTheme="minorEastAsia" w:hAnsiTheme="minorEastAsia"/>
      <w:szCs w:val="24"/>
    </w:rPr>
  </w:style>
  <w:style w:type="character" w:customStyle="1" w:styleId="ae">
    <w:name w:val="結語 (文字)"/>
    <w:basedOn w:val="a0"/>
    <w:link w:val="ad"/>
    <w:uiPriority w:val="99"/>
    <w:rsid w:val="005F6552"/>
    <w:rPr>
      <w:rFonts w:asciiTheme="minorEastAsia" w:hAnsiTheme="minorEastAsia"/>
      <w:sz w:val="24"/>
      <w:szCs w:val="24"/>
    </w:rPr>
  </w:style>
  <w:style w:type="paragraph" w:styleId="af">
    <w:name w:val="Balloon Text"/>
    <w:basedOn w:val="a"/>
    <w:link w:val="af0"/>
    <w:uiPriority w:val="99"/>
    <w:semiHidden/>
    <w:unhideWhenUsed/>
    <w:rsid w:val="001A1C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A1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3730">
      <w:bodyDiv w:val="1"/>
      <w:marLeft w:val="0"/>
      <w:marRight w:val="0"/>
      <w:marTop w:val="0"/>
      <w:marBottom w:val="0"/>
      <w:divBdr>
        <w:top w:val="none" w:sz="0" w:space="0" w:color="auto"/>
        <w:left w:val="none" w:sz="0" w:space="0" w:color="auto"/>
        <w:bottom w:val="none" w:sz="0" w:space="0" w:color="auto"/>
        <w:right w:val="none" w:sz="0" w:space="0" w:color="auto"/>
      </w:divBdr>
    </w:div>
    <w:div w:id="528228175">
      <w:bodyDiv w:val="1"/>
      <w:marLeft w:val="0"/>
      <w:marRight w:val="0"/>
      <w:marTop w:val="0"/>
      <w:marBottom w:val="0"/>
      <w:divBdr>
        <w:top w:val="none" w:sz="0" w:space="0" w:color="auto"/>
        <w:left w:val="none" w:sz="0" w:space="0" w:color="auto"/>
        <w:bottom w:val="none" w:sz="0" w:space="0" w:color="auto"/>
        <w:right w:val="none" w:sz="0" w:space="0" w:color="auto"/>
      </w:divBdr>
    </w:div>
    <w:div w:id="1373262587">
      <w:bodyDiv w:val="1"/>
      <w:marLeft w:val="0"/>
      <w:marRight w:val="0"/>
      <w:marTop w:val="0"/>
      <w:marBottom w:val="0"/>
      <w:divBdr>
        <w:top w:val="none" w:sz="0" w:space="0" w:color="auto"/>
        <w:left w:val="none" w:sz="0" w:space="0" w:color="auto"/>
        <w:bottom w:val="none" w:sz="0" w:space="0" w:color="auto"/>
        <w:right w:val="none" w:sz="0" w:space="0" w:color="auto"/>
      </w:divBdr>
    </w:div>
    <w:div w:id="1762679616">
      <w:bodyDiv w:val="1"/>
      <w:marLeft w:val="0"/>
      <w:marRight w:val="0"/>
      <w:marTop w:val="0"/>
      <w:marBottom w:val="0"/>
      <w:divBdr>
        <w:top w:val="none" w:sz="0" w:space="0" w:color="auto"/>
        <w:left w:val="none" w:sz="0" w:space="0" w:color="auto"/>
        <w:bottom w:val="none" w:sz="0" w:space="0" w:color="auto"/>
        <w:right w:val="none" w:sz="0" w:space="0" w:color="auto"/>
      </w:divBdr>
      <w:divsChild>
        <w:div w:id="677580373">
          <w:marLeft w:val="240"/>
          <w:marRight w:val="0"/>
          <w:marTop w:val="0"/>
          <w:marBottom w:val="0"/>
          <w:divBdr>
            <w:top w:val="none" w:sz="0" w:space="0" w:color="auto"/>
            <w:left w:val="none" w:sz="0" w:space="0" w:color="auto"/>
            <w:bottom w:val="none" w:sz="0" w:space="0" w:color="auto"/>
            <w:right w:val="none" w:sz="0" w:space="0" w:color="auto"/>
          </w:divBdr>
        </w:div>
        <w:div w:id="1600407024">
          <w:marLeft w:val="240"/>
          <w:marRight w:val="0"/>
          <w:marTop w:val="0"/>
          <w:marBottom w:val="0"/>
          <w:divBdr>
            <w:top w:val="none" w:sz="0" w:space="0" w:color="auto"/>
            <w:left w:val="none" w:sz="0" w:space="0" w:color="auto"/>
            <w:bottom w:val="none" w:sz="0" w:space="0" w:color="auto"/>
            <w:right w:val="none" w:sz="0" w:space="0" w:color="auto"/>
          </w:divBdr>
        </w:div>
        <w:div w:id="30658797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206C-AED0-4646-838D-EFC5E95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齋藤聡子</dc:creator>
  <cp:keywords/>
  <dc:description/>
  <cp:lastModifiedBy>辻学</cp:lastModifiedBy>
  <cp:revision>17</cp:revision>
  <cp:lastPrinted>2017-05-30T01:14:00Z</cp:lastPrinted>
  <dcterms:created xsi:type="dcterms:W3CDTF">2017-06-09T01:39:00Z</dcterms:created>
  <dcterms:modified xsi:type="dcterms:W3CDTF">2017-06-22T07:50:00Z</dcterms:modified>
</cp:coreProperties>
</file>